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grids,</w:t>
      </w:r>
      <w:r>
        <w:rPr>
          <w:vertAlign w:val="superscript"/>
        </w:rPr>
        <w:t xml:space="preserve">[8]</w:t>
      </w:r>
      <w:r>
        <w:t xml:space="preserve"> and Marzari–Vanderbilt smearing of 0.01–0.02 Ry was applied.</w:t>
      </w:r>
      <w:r>
        <w:rPr>
          <w:vertAlign w:val="superscript"/>
        </w:rPr>
        <w:t xml:space="preserve">[9]</w:t>
      </w:r>
      <w:r>
        <w:t xml:space="preserve"> Ionic positions were relaxed until all force components fell below 10</w:t>
      </w:r>
      <w:r>
        <w:rPr>
          <w:vertAlign w:val="superscript"/>
        </w:rPr>
        <w:t xml:space="preserve">−4</w:t>
      </w:r>
      <w:r>
        <w:t xml:space="preserve"> Ry bohr</w:t>
      </w:r>
      <w:r>
        <w:rPr>
          <w:vertAlign w:val="superscript"/>
        </w:rPr>
        <w:t xml:space="preserve">−1</w:t>
      </w:r>
      <w:r>
        <w:t xml:space="preserve"> (10</w:t>
      </w:r>
      <w:r>
        <w:rPr>
          <w:vertAlign w:val="superscript"/>
        </w:rPr>
        <w:t xml:space="preserve">−3</w:t>
      </w:r>
      <w:r>
        <w:t xml:space="preserve"> Ry bohr</w:t>
      </w:r>
      <w:r>
        <w:rPr>
          <w:vertAlign w:val="superscript"/>
        </w:rPr>
        <w:t xml:space="preserve">−1</w:t>
      </w:r>
      <w:r>
        <w:t xml:space="preserve"> for O-LPSC1.6), with a self-consistent field (SCF) convergence threshold of 10</w:t>
      </w:r>
      <w:r>
        <w:rPr>
          <w:vertAlign w:val="superscript"/>
        </w:rPr>
        <w:t xml:space="preserve">−8</w:t>
      </w:r>
      <w:r>
        <w:t xml:space="preserve"> Ry.</w:t>
      </w:r>
    </w:p>
    <w:p>
      <w:pPr>
        <w:spacing w:after="0" w:line="480" w:lineRule="auto"/>
        <w:ind w:firstLineChars="150" w:firstLine="360"/>
      </w:pPr>
      <w:r>
        <w:t xml:space="preserve">Three structural models were constructed. LPSC1.6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O-LPSC1.6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BO-LPSC1.6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LPSC1.6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(LPSC1.6, 11 volumes), 0.94–1.06 (O-LPSC1.6, 7 volumes), or 0.96–1.04 (BO-LPSC1.6,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[10,12]</w:t>
      </w:r>
      <w:r>
        <w:t xml:space="preserve"> The </w:t>
      </w:r>
      <w:r>
        <w:rPr>
          <w:i/>
          <w:iCs/>
        </w:rPr>
        <w:t xml:space="preserve">V</w:t>
      </w:r>
      <w:r>
        <w:rPr>
          <w:vertAlign w:val="subscript"/>
        </w:rPr>
        <w:t xml:space="preserve">0</w:t>
      </w:r>
      <w:r>
        <w:t xml:space="preserve"> cells (62, 62, and 128 atoms for LPSC1.6, O-LPSC1.6, and BO-LPSC1.6,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(LPSC1.6 and BO-LPSC1.6) or four (O-LPSC1.6)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BO-LPSC1.6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level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