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Manuscript — Experimental section</w:t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Insert after the “Discrete element method” paragraph, replacing the placeholder “Computational details: DFT”.</w:t>
      </w:r>
    </w:p>
    <w:p>
      <w:pPr>
        <w:spacing w:after="200" w:before="0" w:line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Computational details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: Spin-polarised density functional theory (DFT) calculations were performed with Quantum ESPRESSO [ref] using the Perdew–Burke–Ernzerhof functional, Grimme D3 dispersion, and a Hubbard correction of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U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6.2 eV on the Ni 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d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states. Wave functions and the charge density were expanded to 60 and 480 Ry, respectively, with Gaussian smearing of 0.05 eV and a self-consistency threshold of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Ry. The NCM811 surface was modelled as an antiferromagnetic LiNiO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(104) slab (1 × 4, four layers, 192 atoms, 18.27 × 11.51 Å in plane) with more than 15 Å of vacuum, sampled with a Γ-centred 2 × 3 × 1 mesh and a dipole correction along the surface normal. SDCP was represented by its sulfonate-functionalised EDOT repeat unit (C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; the self-doped form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was obtained by removing the sulfonate proton) and PTFE by a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segment. Adsorption configurations were pre-screened over seven surface sites and 48 molecular orientations with a machine-learned interatomic potential [ref], and the lowest-energy configuration of each species on the surface Li and Ni sites was evaluated by DFT. Gas-phase references were relaxed at the Γ point in the same cell until residual forces fell below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−3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 bohr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, with the box padding increased from 20 to 24 Å to confirm convergence. Adsorption energies were obtained as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ads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(slab+molecule)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(molecule), with all three terms computed with identical settings and the same antiferromagnetic configuration.</w:t>
      </w:r>
    </w:p>
    <w:p>
      <w:r>
        <w:br w:type="page"/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Supporting Information</w:t>
      </w:r>
    </w:p>
    <w:p>
      <w:pPr>
        <w:spacing w:after="160" w:before="0" w:line="30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S1. Parameters used for the DFT calculations.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1600"/>
        <w:gridCol w:w="2860"/>
        <w:gridCol w:w="2900"/>
        <w:gridCol w:w="900"/>
        <w:gridCol w:w="1100"/>
      </w:tblGrid>
      <w:tr>
        <w:tc>
          <w:tcPr>
            <w:tcW w:type="dxa" w:w="16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286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29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9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11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Program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S1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Exchange–correlation functional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PBE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S2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Dispersion correction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Grimme D3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S3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Hubbard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(Ni 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S4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Basis set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Wavefunction cutoff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Charge-density cutoff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480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Brillouin zone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(slab)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3 × 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Γ-centred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(convergence check)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× 4 × 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Γ-centred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(gas-phase molecule)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 × 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 only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 width (Gaussian)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Total energy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−6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Residual force (gas-phase relaxation)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 bohr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Surface model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LiNiO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(104), 1 × 4, four layers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Number of atoms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192 (Li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96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In-plane dimensions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18.27 × 11.51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height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30.26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Adsorbate–image separation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&gt; 15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atoms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144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z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≤ 17.40 Å)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Magnetic configuration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Antiferromagnetic (net 0)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S5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 magnetic moment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B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Calculated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Dipole correction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Along surface normal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SDCP repeat unit (neutral)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SDCP repeat unit (self-doped)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PTFE segment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Gas-phase reference box padding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 and 24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Configuration search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Surface sites / orientations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 / 48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Interatomic potential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UMA-s-1p1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S6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Force convergence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 Å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Adsorption energy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Definition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(slab+molecule) −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(slab) −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(molecule)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a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 w:before="0" w:line="300"/>
      </w:pPr>
    </w:p>
    <w:p>
      <w:pPr>
        <w:spacing w:after="22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  <w:vertAlign w:val="superscript"/>
        </w:rPr>
        <w:t xml:space="preserve">a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 Adsorption energies are single-point DFT energies evaluated on the pre-screened adsorption geometries; the adsorbed complexes were not relaxed at the DFT level. The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6"/>
          <w:szCs w:val="16"/>
        </w:rPr>
        <w:t xml:space="preserve">k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-point mesh was verified directly for the C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  <w:vertAlign w:val="subscript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F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  <w:vertAlign w:val="subscript"/>
        </w:rPr>
        <w:t xml:space="preserve">22</w:t>
      </w: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 and self-doped SDCP systems; the remaining systems use the same mesh.</w:t>
      </w: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Figure captions (DFT panels)</w:t>
      </w:r>
    </w:p>
    <w:p>
      <w:pPr>
        <w:spacing w:after="6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Figure 2e. Calculated adsorption energies of the SDCP repeat unit and a PTFE segment on the LiNiO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(104) surface. ⟨values to be inserted⟩</w:t>
      </w:r>
    </w:p>
    <w:p>
      <w:pPr>
        <w:spacing w:after="6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Figure S3. Computational models used for the DFT calculations: the LiNiO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(104) slab and the adsorbed SDCP (neutral and self-doped) and PTFE segments.</w:t>
      </w:r>
    </w:p>
    <w:p>
      <w:pPr>
        <w:spacing w:after="140" w:before="0" w:line="300"/>
      </w:pP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References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[S1] P. Giannozzi, S. Baroni, N. Bonini, M. Calandra, R. Car, C. Cavazzoni, D. Ceresoli, G. L. Chiarotti, M. Cococcioni, I. Dabo, A. Dal Corso, S. de Gironcoli, S. Fabris, G. Fratesi, R. Gebauer, U. Gerstmann, C. Gougoussis, A. Kokalj, M. Lazzeri, L. Martin-Samos, N. Marzari, F. Mauri, R. Mazzarello, S. Paolini, A. Pasquarello, L. Paulatto, C. Sbraccia, S. Scandolo, G. Sclauzero, A. P. Seitsonen, A. Smogunov, P. Umari, R. M. Wentzcovitch, QUANTUM ESPRESSO: a modular and open-source software project for quantum simulations of materials, J. Phys.: Condens. Matter 21 (2009) 395502.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[S2] J. P. Perdew, K. Burke, M. Ernzerhof, Generalized gradient approximation made simple, Phys. Rev. Lett. 77 (1996) 3865–3868.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[S3] S. Grimme, J. Antony, S. Ehrlich, H. Krieg, A consistent and accurate ab initio parametrization of density functional dispersion correction (DFT-D) for the 94 elements H-Pu, J. Chem. Phys. 132 (2010) 154104.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[S4] ── TO BE SUPPLIED: source for U(Ni 3d) = 6.2 eV in LiNiO2.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[S5] ── TO BE SUPPLIED: source for the antiferromagnetic ordering of LiNiO2.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[S6] B. M. Wood, M. Dzamba, X. Fu, M. Gao, M. Shuaibi, L. Barroso-Luque, K. Abdelmaqsoud, V. Gharakhanyan, J. R. Kitchin, D. S. Levine, K. Michel, A. Sriram, T. S. Cohen, A. Das, S. J. Sahoo, A. Rizvi, Z. W. Ulissi, C. L. Zitnick, UMA: A family of universal models for atoms, Adv. Neural Inf. Process. Syst. 38 (2025) 143528–143564.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2026-08-23T05:51:03.360Z</dcterms:created>
  <dcterms:modified xsi:type="dcterms:W3CDTF">2026-08-23T05:51:03.375Z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