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Manuscript — Experimental section</w:t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Insert after the “Discrete element method” paragraph, replacing the placeholder “Computational details: DFT”. Equations (1) and (2) are already used by the discrete-element section, so the adsorption-energy expression is numbered (3).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Computational details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: Spin-polarised density functional theory (DFT) calculations were performed with Quantum ESPRESSO [ref] using the Perdew–Burke–Ernzerhof functional, Grimme D3 dispersion, and a Hubbard correction of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U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6.2 eV on the Ni 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d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states. Wave functions and the charge density were expanded to 60 and 480 Ry, respectively, with Gaussian smearing of 0.05 eV and a self-consistency threshold of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Ry. The NCM811 surface was modelled as an antiferromagnetic LiNiO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(104) slab (1 × 4, four layers, 192 atoms, 18.27 × 11.51 Å in plane) with more than 15 Å of vacuum, sampled with a Γ-centred 2 × 3 × 1 mesh and a dipole correction along the surface normal. SDCP was represented by its sulfonate-functionalised EDOT repeat unit (C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; the self-doped form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H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O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6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was obtained by removing the sulfonate proton) and PTFE by a C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22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segment. Adsorption configurations were pre-screened over seven surface sites and 48 molecular orientations with a machine-learned interatomic potential [ref], and the lowest-energy configuration of each species on the surface Li and Ni sites was evaluated by DFT. Gas-phase references were relaxed at the Γ point in the same cell until residual forces fell below 1 × 10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−3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Ry bohr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perscript"/>
        </w:rPr>
        <w:t xml:space="preserve">−1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, with the box padding increased from 20 to 24 Å to confirm convergence. Adsorption energies were obtained as</w:t>
      </w:r>
    </w:p>
    <w:p>
      <w:pPr>
        <w:spacing w:after="160" w:before="160" w:line="300"/>
        <w:ind w:left="72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  <w:vertAlign w:val="subscript"/>
        </w:rPr>
        <w:t xml:space="preserve">ads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 =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 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</w:t>
      </w:r>
      <w:r>
        <w:ptab w:alignment="right" w:relativeTo="margin" w:leader="none"/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(3)</w:t>
      </w:r>
    </w:p>
    <w:p>
      <w:pPr>
        <w:spacing w:after="200" w:before="0" w:line="3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where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(slab+molecule),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(slab), and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(molecule) are the total energies of the adsorbed complex, the clean slab, and the isolated molecule, respectively, all computed with identical settings and the same antiferromagnetic configuration.</w:t>
      </w:r>
    </w:p>
    <w:p>
      <w:r>
        <w:br w:type="page"/>
      </w:r>
    </w:p>
    <w:p>
      <w:pPr>
        <w:spacing w:after="200" w:before="0" w:line="3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Supporting Information</w:t>
      </w:r>
    </w:p>
    <w:p>
      <w:pPr>
        <w:spacing w:after="160" w:before="0" w:line="30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S1. Parameters used for the DFT calculations.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1500"/>
        <w:gridCol w:w="2760"/>
        <w:gridCol w:w="3200"/>
        <w:gridCol w:w="800"/>
        <w:gridCol w:w="1100"/>
      </w:tblGrid>
      <w:tr>
        <w:tc>
          <w:tcPr>
            <w:tcW w:type="dxa" w:w="15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276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2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8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ESPRESSO; PBE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S1, S2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Dispersion / Hubbard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(Ni 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Grimme D3; 6.2 eV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S3, S4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 (Gaussian)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Ry / 1 × 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Ry bohr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-point mesh (slab / check / molecule)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3 × 1 / 3 × 4 × 1 / Γ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Γ-centred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Surface model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LiNiO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(104), 1 × 4, four layers, 192 atoms (Li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48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96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(in-plane × height)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18.27 × 11.51 × 30.26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Adsorbate–image separation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&gt; 15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atoms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144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z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≤ 17.40 Å)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Magnetic configuration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Antiferromagnetic (net 0); Ni 1.02 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S5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Dipole correction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Along surface normal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Adsorbate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SDCP repeat unit (neutral / self-doped)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/ 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15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PTFE segment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bscript"/>
              </w:rPr>
              <w:t xml:space="preserve">22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Gas-phase reference box padding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 and 24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Configuration search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Potential; sites / orientations; force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UMA-s-1p1; 7 / 48; 0.05 eV Å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vertAlign w:val="superscript"/>
              </w:rPr>
              <w:t xml:space="preserve">−1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Ref. S6</w:t>
            </w:r>
          </w:p>
        </w:tc>
      </w:tr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Adsorption energy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Definition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Equation (3)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Figure captions (DFT panels)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2e. Calculated adsorption energies of the SDCP repeat unit and a PTFE segment on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surface. ⟨values to be inserted⟩</w:t>
      </w:r>
    </w:p>
    <w:p>
      <w:pPr>
        <w:spacing w:after="6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Figure S3. Computational models used for the DFT calculations: the LiNiO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  <w:b w:val="false"/>
          <w:bCs w:val="false"/>
          <w:sz w:val="17"/>
          <w:szCs w:val="17"/>
        </w:rPr>
        <w:t xml:space="preserve">(104) slab and the adsorbed SDCP (neutral and self-doped) and PTFE segments.</w:t>
      </w:r>
    </w:p>
    <w:p>
      <w:pPr>
        <w:spacing w:after="140" w:before="0" w:line="300"/>
      </w:pPr>
    </w:p>
    <w:p>
      <w:pPr>
        <w:spacing w:after="80" w:before="0" w:line="30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[S1] P. Giannozzi, S. Baroni, N. Bonini, M. Calandra, R. Car, C. Cavazzoni, D. Ceresoli, G. L. Chiarotti, M. Cococcioni, I. Dabo, A. Dal Corso, S. de Gironcoli, S. Fabris, G. Fratesi, R. Gebauer, U. Gerstmann, C. Gougoussis, A. Kokalj, M. Lazzeri, L. Martin-Samos, N. Marzari, F. Mauri, R. Mazzarello, S. Paolini, A. Pasquarello, L. Paulatto, C. Sbraccia, S. Scandolo, G. Sclauzero, A. P. Seitsonen, A. Smogunov, P. Umari, R. M. Wentzcovitch, QUANTUM ESPRESSO: a modular and open-source software project for quantum simulations of materials, J. Phys.: Condens. Matter 21 (2009) 395502.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[S2] J. P. Perdew, K. Burke, M. Ernzerhof, Generalized gradient approximation made simple, Phys. Rev. Lett. 77 (1996) 3865–3868.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[S3] S. Grimme, J. Antony, S. Ehrlich, H. Krieg, A consistent and accurate ab initio parametrization of density functional dispersion correction (DFT-D) for the 94 elements H-Pu, J. Chem. Phys. 132 (2010) 154104.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[S4] ── TO BE SUPPLIED: source for U(Ni 3d) = 6.2 eV in LiNiO2.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[S5] ── TO BE SUPPLIED: source for the antiferromagnetic ordering of LiNiO2.</w:t>
      </w:r>
    </w:p>
    <w:p>
      <w:pPr>
        <w:spacing w:after="40" w:before="0" w:line="300"/>
      </w:pPr>
      <w:r>
        <w:rPr>
          <w:rFonts w:ascii="Times New Roman" w:cs="Times New Roman" w:eastAsia="Times New Roman" w:hAnsi="Times New Roman"/>
          <w:b w:val="false"/>
          <w:bCs w:val="false"/>
          <w:sz w:val="16"/>
          <w:szCs w:val="16"/>
        </w:rPr>
        <w:t xml:space="preserve">[S6] B. M. Wood, M. Dzamba, X. Fu, M. Gao, M. Shuaibi, L. Barroso-Luque, K. Abdelmaqsoud, V. Gharakhanyan, J. R. Kitchin, D. S. Levine, K. Michel, A. Sriram, T. S. Cohen, A. Das, S. J. Sahoo, A. Rizvi, Z. W. Ulissi, C. L. Zitnick, UMA: A family of universal models for atoms, Adv. Neural Inf. Process. Syst. 38 (2025) 143528–143564.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2026-08-23T06:06:14.477Z</dcterms:created>
  <dcterms:modified xsi:type="dcterms:W3CDTF">2026-08-23T06:06:14.477Z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