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0" w:line="28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Table S2. Computational parameters for the DFT calculations of Li-adatom migration on the Li₃N(001) and LiC₆(0001) surfaces.</w:t>
      </w:r>
    </w:p>
    <w:tbl>
      <w:tblPr>
        <w:tblW w:type="dxa" w:w="9360"/>
        <w:tblBorders>
          <w:top w:val="single" w:color="808080" w:sz="6"/>
          <w:left w:val="none"/>
          <w:bottom w:val="single" w:color="808080" w:sz="6"/>
          <w:right w:val="none"/>
          <w:insideH w:val="single" w:color="BFBFBF" w:sz="2"/>
          <w:insideV w:val="none"/>
        </w:tblBorders>
      </w:tblPr>
      <w:tblGrid>
        <w:gridCol w:w="2280"/>
        <w:gridCol w:w="3540"/>
        <w:gridCol w:w="3540"/>
      </w:tblGrid>
      <w:tr>
        <w:tc>
          <w:tcPr>
            <w:tcW w:type="dxa" w:w="2280"/>
            <w:gridSpan w:val="1"/>
            <w:shd w:fill="D9E2F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3540"/>
            <w:gridSpan w:val="1"/>
            <w:shd w:fill="D9E2F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Li₃N(001)</w:t>
            </w:r>
          </w:p>
        </w:tc>
        <w:tc>
          <w:tcPr>
            <w:tcW w:type="dxa" w:w="3540"/>
            <w:gridSpan w:val="1"/>
            <w:shd w:fill="D9E2F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LiC₆(0001)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Code / functional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Quantum ESPRESSO 7.4.1 (pw.x); PBE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Pseudopotentials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Li, N: ultrasoft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Li: ultrasoft; C: PAW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Cutoff (wavefunction / charge density)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 / 480 Ry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k-point mesh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× 2 × 1 (Γ-centred)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Smearing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Marzari–Vanderbilt, 0.01 Ry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Convergence (SCF / force)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 × 10⁻⁶ Ry / 1 × 10⁻³ Ry bohr⁻¹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Slab model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α-Li₃N, 3 × 3; four Li₂N and three Li planes, Li₂N (N-exposed) termination; 135 atoms + 1 Li adatom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Stage-1 LiC₆, √3 × √3 R30°, 2 × 2 × 2; graphene-terminated; 108 atoms + 1 Li adatom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 / vacuum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 = b = 10.95 Å, c = 28.545 Å, γ = 120°; 15.7 Å vacuum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 Å vacuum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Fixed atoms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Bottom two Li₂N/Li bilayers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Bottom 50 % of the slab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Migration path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Constrained relaxation: adatom lateral (x, y) coordinates fixed; its height and all unconstrained atoms relaxed independently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CI-NEB with the UMA-oc20 machine-learned potential (7 images, IDPP initial path, 0.05 eV Å⁻¹), then DFT single-point energies on those geometries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Barrier definition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E(saddle-region configuration) − E(relaxed adsorption minimum)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E(highest-energy image) − E(initial adsorption minimum)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Migration barrier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0.118 eV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0.290 eV</w:t>
            </w:r>
          </w:p>
        </w:tc>
      </w:tr>
    </w:tbl>
    <w:p>
      <w:pPr>
        <w:spacing w:after="140" w:before="0" w:line="28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/>
      </w:r>
    </w:p>
    <w:p>
      <w:pPr>
        <w:spacing w:after="110" w:before="0" w:line="28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Both surfaces use identical electronic-structure settings, so the two barriers are directly comparable. On Li₃N(001) the pronounced adsorbate-induced relaxation of the soft ionic surface destabilised elastic-band calculations, so the barrier was evaluated from two independently converged constrained relaxations instead.</w:t>
      </w:r>
    </w:p>
    <w:p>
      <w:pPr>
        <w:spacing w:after="160" w:before="0" w:line="28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The LiC₆(0001) energies are DFT single points on machine-learned-potential geometries; because such potentials smooth the transition state, the LiC₆ barrier — and hence the barrier ratio quoted in the main text — is a conservative lower bound. The Li₃N(001) value of 0.118 eV agrees with the 0.133 eV reported for the same surface in ref. [54].</w:t>
      </w:r>
    </w:p>
    <w:p>
      <w:pPr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References.</w:t>
      </w:r>
    </w:p>
    <w:p>
      <w:pPr>
        <w:spacing w:after="80" w:before="0" w:line="280"/>
      </w:pPr>
      <w:r>
        <w:rPr>
          <w:rFonts w:ascii="Times New Roman" w:cs="Times New Roman" w:eastAsia="Times New Roman" w:hAnsi="Times New Roman"/>
          <w:sz w:val="17"/>
          <w:szCs w:val="17"/>
        </w:rPr>
        <w:t xml:space="preserve">Calculations were performed with Quantum ESPRESSO [43] using the PBE exchange–correlation functional [44] with ultrasoft [45] and projector augmented-wave pseudopotentials (P. E. Blöchl, Phys. Rev. B 50 (1994) 17953), and Marzari–Vanderbilt cold smearing (N. Marzari, D. Vanderbilt, A. De Vita, M. C. Payne, Phys. Rev. Lett. 82 (1999) 3296).</w:t>
      </w:r>
    </w:p>
    <w:p>
      <w:pPr>
        <w:spacing w:after="80" w:before="0" w:line="280"/>
      </w:pPr>
      <w:r>
        <w:rPr>
          <w:rFonts w:ascii="Times New Roman" w:cs="Times New Roman" w:eastAsia="Times New Roman" w:hAnsi="Times New Roman"/>
          <w:sz w:val="17"/>
          <w:szCs w:val="17"/>
        </w:rPr>
        <w:t xml:space="preserve">The LiC₆(0001) migration path was obtained with the climbing-image nudged elastic band method [40] from an image-dependent pair potential initial guess (S. Smidstrup, A. Pedersen, K. Stokbro, H. Jónsson, J. Chem. Phys. 140 (2014) 214106), using the UMA machine-learned interatomic potential [41] as implemented in the Atomic Simulation Environment [42].</w:t>
      </w:r>
    </w:p>
    <w:p>
      <w:pPr>
        <w:spacing w:after="110" w:before="0" w:line="280"/>
      </w:pPr>
      <w:r>
        <w:rPr>
          <w:rFonts w:ascii="Times New Roman" w:cs="Times New Roman" w:eastAsia="Times New Roman" w:hAnsi="Times New Roman"/>
          <w:sz w:val="17"/>
          <w:szCs w:val="17"/>
        </w:rPr>
        <w:t xml:space="preserve">Pseudopotentials: Li from the GBRV library (K. F. Garrity, J. W. Bennett, K. M. Rabe, D. Vanderbilt, Comput. Mater. Sci. 81 (2014) 446); N and C from PSlibrary (A. Dal Corso, Comput. Mater. Sci. 95 (2014) 337).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2026-08-13T04:44:11.139Z</dcterms:created>
  <dcterms:modified xsi:type="dcterms:W3CDTF">2026-08-13T04:44:11.153Z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