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240" w:after="240" w:line="480" w:lineRule="auto"/>
      </w:pPr>
      <w:r>
        <w:rPr>
          <w:i/>
          <w:iCs/>
        </w:rPr>
        <w:t xml:space="preserve">Computational details</w:t>
      </w:r>
    </w:p>
    <w:p>
      <w:pPr>
        <w:spacing w:after="0" w:line="480" w:lineRule="auto"/>
        <w:ind w:firstLineChars="150" w:firstLine="360"/>
        <w:jc w:val="both"/>
      </w:pPr>
      <w:r>
        <w:t xml:space="preserve">DFT calculations were performed with Quantum ESPRESSO [1–3] using the Perdew–Burke–Ernzerhof (PBE) generalized gradient approximation (GGA) [4]. In all calculations, kinetic energy cutoffs of 60 and 480 Ry were used for the wavefunctions and charge density, respectively, the Brillouin zone was sampled with Γ-centered Monkhorst–Pack </w:t>
      </w:r>
      <w:r>
        <w:rPr>
          <w:i/>
          <w:iCs/>
        </w:rPr>
        <w:t xml:space="preserve">k</w:t>
      </w:r>
      <w:r>
        <w:t xml:space="preserve">-point grids [5], and self-consistent field (SCF) calculations were converged to 10</w:t>
      </w:r>
      <w:r>
        <w:rPr>
          <w:vertAlign w:val="superscript"/>
        </w:rPr>
        <w:t xml:space="preserve">−8</w:t>
      </w:r>
      <w:r>
        <w:t xml:space="preserve"> Ry with a mixing factor of 0.3.</w:t>
      </w:r>
    </w:p>
    <w:p>
      <w:pPr>
        <w:spacing w:after="0" w:line="480" w:lineRule="auto"/>
        <w:ind w:firstLineChars="150" w:firstLine="360"/>
        <w:jc w:val="both"/>
      </w:pPr>
      <w:r>
        <w:t xml:space="preserve">Li migration barriers were calculated with the climbing-image nudged elastic band (CI-NEB) method [6] for a Li vacancy hopping between nearest-neighbor 8</w:t>
      </w:r>
      <w:r>
        <w:rPr>
          <w:i/>
          <w:iCs/>
        </w:rPr>
        <w:t xml:space="preserve">c</w:t>
      </w:r>
      <w:r>
        <w:t xml:space="preserve"> sites. Antifluorite Li</w:t>
      </w:r>
      <w:r>
        <w:rPr>
          <w:vertAlign w:val="subscript"/>
        </w:rPr>
        <w:t xml:space="preserve">2</w:t>
      </w:r>
      <w:r>
        <w:t xml:space="preserve">S (</w:t>
      </w:r>
      <w:r>
        <w:rPr>
          <w:i/>
          <w:iCs/>
        </w:rPr>
        <w:t xml:space="preserve">Fm</w:t>
      </w:r>
      <w:r>
        <w:t xml:space="preserve">3̅</w:t>
      </w:r>
      <w:r>
        <w:rPr>
          <w:i/>
          <w:iCs/>
        </w:rPr>
        <w:t xml:space="preserve">m</w:t>
      </w:r>
      <w:r>
        <w:t xml:space="preserve">; mp-1153 in the Materials Project database [7]) and an ordered BiF</w:t>
      </w:r>
      <w:r>
        <w:rPr>
          <w:vertAlign w:val="subscript"/>
        </w:rPr>
        <w:t xml:space="preserve">3</w:t>
      </w:r>
      <w:r>
        <w:t xml:space="preserve">-type Li</w:t>
      </w:r>
      <w:r>
        <w:rPr>
          <w:vertAlign w:val="subscript"/>
        </w:rPr>
        <w:t xml:space="preserve">3</w:t>
      </w:r>
      <w:r>
        <w:t xml:space="preserve">Nd model (</w:t>
      </w:r>
      <w:r>
        <w:rPr>
          <w:i/>
          <w:iCs/>
        </w:rPr>
        <w:t xml:space="preserve">Fm</w:t>
      </w:r>
      <w:r>
        <w:t xml:space="preserve">3̅</w:t>
      </w:r>
      <w:r>
        <w:rPr>
          <w:i/>
          <w:iCs/>
        </w:rPr>
        <w:t xml:space="preserve">m</w:t>
      </w:r>
      <w:r>
        <w:t xml:space="preserve">; mp-976264, a hypothetical phase above the convex hull) were first relaxed with variable cell. Ultrasoft pseudopotentials from the GBRV library (v1.4) were used for Li and S [8], and the PAW dataset Nd.pbe-spdn-kjpaw</w:t>
      </w:r>
      <w:r>
        <w:t xml:space="preserve">_</w:t>
      </w:r>
      <w:r>
        <w:t xml:space="preserve">psl.1.0.0 from PSlibrary, in which the Nd 4</w:t>
      </w:r>
      <w:r>
        <w:rPr>
          <w:i/>
          <w:iCs/>
        </w:rPr>
        <w:t xml:space="preserve">f</w:t>
      </w:r>
      <w:r>
        <w:t xml:space="preserve"> electrons are frozen in the core, was used for Nd [9]. Supercells of the primitive cells were then constructed, 3 × 3 × 3 for Li</w:t>
      </w:r>
      <w:r>
        <w:rPr>
          <w:vertAlign w:val="subscript"/>
        </w:rPr>
        <w:t xml:space="preserve">2</w:t>
      </w:r>
      <w:r>
        <w:t xml:space="preserve">S (80 atoms after vacancy creation, shortest lattice translation 12.1 Å, hop distance 2.85 Å) and 2 × 2 × 2 for Li</w:t>
      </w:r>
      <w:r>
        <w:rPr>
          <w:vertAlign w:val="subscript"/>
        </w:rPr>
        <w:t xml:space="preserve">3</w:t>
      </w:r>
      <w:r>
        <w:t xml:space="preserve">Nd (31 atoms, shortest lattice translation 10.4 Å, hop distance 3.67 Å), and both were sampled with a 3 × 3 × 3 </w:t>
      </w:r>
      <w:r>
        <w:rPr>
          <w:i/>
          <w:iCs/>
        </w:rPr>
        <w:t xml:space="preserve">k</w:t>
      </w:r>
      <w:r>
        <w:t xml:space="preserve">-point grid. Because Li</w:t>
      </w:r>
      <w:r>
        <w:rPr>
          <w:vertAlign w:val="subscript"/>
        </w:rPr>
        <w:t xml:space="preserve">2</w:t>
      </w:r>
      <w:r>
        <w:t xml:space="preserve">S is an insulator, its vacancy was modeled in the negatively charged state (V</w:t>
      </w:r>
      <w:r>
        <w:rPr>
          <w:vertAlign w:val="subscript"/>
        </w:rPr>
        <w:t xml:space="preserve">Li</w:t>
      </w:r>
      <w:r>
        <w:rPr>
          <w:vertAlign w:val="superscript"/>
        </w:rPr>
        <w:t xml:space="preserve">−</w:t>
      </w:r>
      <w:r>
        <w:t xml:space="preserve">; one extra electron per supercell compensated by a uniform background charge, without a finite-size correction) with Gaussian smearing of 0.005 Ry, whereas the vacancy in metallic Li</w:t>
      </w:r>
      <w:r>
        <w:rPr>
          <w:vertAlign w:val="subscript"/>
        </w:rPr>
        <w:t xml:space="preserve">3</w:t>
      </w:r>
      <w:r>
        <w:t xml:space="preserve">Nd was modeled as neutral with Marzari–Vanderbilt smearing [10] of 0.02 Ry.</w:t>
      </w:r>
    </w:p>
    <w:p>
      <w:pPr>
        <w:spacing w:after="0" w:line="480" w:lineRule="auto"/>
        <w:ind w:firstLineChars="150" w:firstLine="360"/>
        <w:jc w:val="both"/>
      </w:pPr>
      <w:r>
        <w:t xml:space="preserve">The two vacancy endpoints were relaxed at fixed cell until all force components were below 10</w:t>
      </w:r>
      <w:r>
        <w:rPr>
          <w:vertAlign w:val="superscript"/>
        </w:rPr>
        <w:t xml:space="preserve">−3</w:t>
      </w:r>
      <w:r>
        <w:t xml:space="preserve"> Ry bohr</w:t>
      </w:r>
      <w:r>
        <w:rPr>
          <w:vertAlign w:val="superscript"/>
        </w:rPr>
        <w:t xml:space="preserve">−1</w:t>
      </w:r>
      <w:r>
        <w:t xml:space="preserve">. The minimum-energy path was represented by seven images and optimized with the Broyden scheme, with the climbing image selected automatically, until the force component perpendicular to the path fell below 0.05 eV Å</w:t>
      </w:r>
      <w:r>
        <w:rPr>
          <w:vertAlign w:val="superscript"/>
        </w:rPr>
        <w:t xml:space="preserve">−1</w:t>
      </w:r>
      <w:r>
        <w:t xml:space="preserve">. For Li</w:t>
      </w:r>
      <w:r>
        <w:rPr>
          <w:vertAlign w:val="subscript"/>
        </w:rPr>
        <w:t xml:space="preserve">3</w:t>
      </w:r>
      <w:r>
        <w:t xml:space="preserve">Nd, both vacancy endpoints reconstructed substantially on relaxation from the ideal lattice, so the barrier refers to this locally reconstructed 2 × 2 × 2 model. A larger-cell check was not possible, because the 3 × 3 × 3 CI-NEB did not converge and the 3 × 3 × 3 cells reconstructed substantially on relaxation; the Li</w:t>
      </w:r>
      <w:r>
        <w:rPr>
          <w:vertAlign w:val="subscript"/>
        </w:rPr>
        <w:t xml:space="preserve">3</w:t>
      </w:r>
      <w:r>
        <w:t xml:space="preserve">Nd barrier is therefore not converged with respect to cell size. The cell-size convergence of the Li</w:t>
      </w:r>
      <w:r>
        <w:rPr>
          <w:vertAlign w:val="subscript"/>
        </w:rPr>
        <w:t xml:space="preserve">2</w:t>
      </w:r>
      <w:r>
        <w:t xml:space="preserve">S barrier was not tested.</w:t>
      </w:r>
    </w:p>
    <w:p>
      <w:pPr>
        <w:spacing w:after="0" w:line="480" w:lineRule="auto"/>
        <w:ind w:firstLineChars="150" w:firstLine="360"/>
        <w:jc w:val="both"/>
      </w:pPr>
      <w:r>
        <w:t xml:space="preserve">The band gaps of the interphase components in Fig. 3h were calculated for Li</w:t>
      </w:r>
      <w:r>
        <w:rPr>
          <w:vertAlign w:val="subscript"/>
        </w:rPr>
        <w:t xml:space="preserve">2</w:t>
      </w:r>
      <w:r>
        <w:t xml:space="preserve">S (mp-1153, </w:t>
      </w:r>
      <w:r>
        <w:rPr>
          <w:i/>
          <w:iCs/>
        </w:rPr>
        <w:t xml:space="preserve">Fm</w:t>
      </w:r>
      <w:r>
        <w:t xml:space="preserve">3̅</w:t>
      </w:r>
      <w:r>
        <w:rPr>
          <w:i/>
          <w:iCs/>
        </w:rPr>
        <w:t xml:space="preserve">m</w:t>
      </w:r>
      <w:r>
        <w:t xml:space="preserve">), Li</w:t>
      </w:r>
      <w:r>
        <w:rPr>
          <w:vertAlign w:val="subscript"/>
        </w:rPr>
        <w:t xml:space="preserve">3</w:t>
      </w:r>
      <w:r>
        <w:t xml:space="preserve">P (mp-736, </w:t>
      </w:r>
      <w:r>
        <w:rPr>
          <w:i/>
          <w:iCs/>
        </w:rPr>
        <w:t xml:space="preserve">P</w:t>
      </w:r>
      <w:r>
        <w:t xml:space="preserve">6</w:t>
      </w:r>
      <w:r>
        <w:rPr>
          <w:vertAlign w:val="subscript"/>
        </w:rPr>
        <w:t xml:space="preserve">3</w:t>
      </w:r>
      <w:r>
        <w:t xml:space="preserve">/</w:t>
      </w:r>
      <w:r>
        <w:rPr>
          <w:i/>
          <w:iCs/>
        </w:rPr>
        <w:t xml:space="preserve">mmc</w:t>
      </w:r>
      <w:r>
        <w:t xml:space="preserve">), Li</w:t>
      </w:r>
      <w:r>
        <w:rPr>
          <w:vertAlign w:val="subscript"/>
        </w:rPr>
        <w:t xml:space="preserve">2</w:t>
      </w:r>
      <w:r>
        <w:t xml:space="preserve">O (mp-1960, </w:t>
      </w:r>
      <w:r>
        <w:rPr>
          <w:i/>
          <w:iCs/>
        </w:rPr>
        <w:t xml:space="preserve">Fm</w:t>
      </w:r>
      <w:r>
        <w:t xml:space="preserve">3̅</w:t>
      </w:r>
      <w:r>
        <w:rPr>
          <w:i/>
          <w:iCs/>
        </w:rPr>
        <w:t xml:space="preserve">m</w:t>
      </w:r>
      <w:r>
        <w:t xml:space="preserve">), β-Li</w:t>
      </w:r>
      <w:r>
        <w:rPr>
          <w:vertAlign w:val="subscript"/>
        </w:rPr>
        <w:t xml:space="preserve">3</w:t>
      </w:r>
      <w:r>
        <w:t xml:space="preserve">PO</w:t>
      </w:r>
      <w:r>
        <w:rPr>
          <w:vertAlign w:val="subscript"/>
        </w:rPr>
        <w:t xml:space="preserve">4</w:t>
      </w:r>
      <w:r>
        <w:t xml:space="preserve"> (mp-13725, </w:t>
      </w:r>
      <w:r>
        <w:rPr>
          <w:i/>
          <w:iCs/>
        </w:rPr>
        <w:t xml:space="preserve">Pmn</w:t>
      </w:r>
      <w:r>
        <w:t xml:space="preserve">2</w:t>
      </w:r>
      <w:r>
        <w:rPr>
          <w:vertAlign w:val="subscript"/>
        </w:rPr>
        <w:t xml:space="preserve">1</w:t>
      </w:r>
      <w:r>
        <w:t xml:space="preserve">), and rock-salt LiCl (mp-22905, </w:t>
      </w:r>
      <w:r>
        <w:rPr>
          <w:i/>
          <w:iCs/>
        </w:rPr>
        <w:t xml:space="preserve">Fm</w:t>
      </w:r>
      <w:r>
        <w:t xml:space="preserve">3̅</w:t>
      </w:r>
      <w:r>
        <w:rPr>
          <w:i/>
          <w:iCs/>
        </w:rPr>
        <w:t xml:space="preserve">m</w:t>
      </w:r>
      <w:r>
        <w:t xml:space="preserve">), whose structures were taken from the Materials Project database [7]. Ultrasoft GBRV pseudopotentials (v1.4) were used for Li, S, and Cl [8], and PSlibrary datasets were used for P (ultrasoft, P.pbe-n-rrkjus</w:t>
      </w:r>
      <w:r>
        <w:t xml:space="preserve">_</w:t>
      </w:r>
      <w:r>
        <w:t xml:space="preserve">psl.1.0.0) and O (PAW, O.pbe-n-kjpaw</w:t>
      </w:r>
      <w:r>
        <w:t xml:space="preserve">_</w:t>
      </w:r>
      <w:r>
        <w:t xml:space="preserve">psl.0.1) [9]. The structures were relaxed with respect to both lattice parameters and atomic positions with Marzari–Vanderbilt smearing [10] of 0.01 Ry and a </w:t>
      </w:r>
      <w:r>
        <w:rPr>
          <w:i/>
          <w:iCs/>
        </w:rPr>
        <w:t xml:space="preserve">k</w:t>
      </w:r>
      <w:r>
        <w:t xml:space="preserve">-point spacing of at most 0.30 Å</w:t>
      </w:r>
      <w:r>
        <w:rPr>
          <w:vertAlign w:val="superscript"/>
        </w:rPr>
        <w:t xml:space="preserve">−1</w:t>
      </w:r>
      <w:r>
        <w:t xml:space="preserve"> (including the factor 2π). After an SCF calculation on the relaxed structure, a non-self-consistent calculation with fixed occupations was performed on a denser </w:t>
      </w:r>
      <w:r>
        <w:rPr>
          <w:i/>
          <w:iCs/>
        </w:rPr>
        <w:t xml:space="preserve">k</w:t>
      </w:r>
      <w:r>
        <w:t xml:space="preserve">-point grid (spacing of at most 0.15 Å</w:t>
      </w:r>
      <w:r>
        <w:rPr>
          <w:vertAlign w:val="superscript"/>
        </w:rPr>
        <w:t xml:space="preserve">−1</w:t>
      </w:r>
      <w:r>
        <w:t xml:space="preserve">) with at least 35% more bands than occupied states, and the band gap was taken as the difference between the Kohn–Sham eigenvalues at the conduction band minimum and the valence band maximum.</w:t>
      </w:r>
    </w:p>
    <w:p>
      <w:pPr>
        <w:spacing w:after="0" w:line="480" w:lineRule="auto"/>
        <w:ind w:firstLineChars="150" w:firstLine="360"/>
        <w:jc w:val="both"/>
      </w:pPr>
      <w:r>
        <w:t xml:space="preserve">Interfacial reaction energies between the SEs and NCM (LiNi</w:t>
      </w:r>
      <w:r>
        <w:rPr>
          <w:vertAlign w:val="subscript"/>
        </w:rPr>
        <w:t xml:space="preserve">0.8</w:t>
      </w:r>
      <w:r>
        <w:t xml:space="preserve">Co</w:t>
      </w:r>
      <w:r>
        <w:rPr>
          <w:vertAlign w:val="subscript"/>
        </w:rPr>
        <w:t xml:space="preserve">0.1</w:t>
      </w:r>
      <w:r>
        <w:t xml:space="preserve">Mn</w:t>
      </w:r>
      <w:r>
        <w:rPr>
          <w:vertAlign w:val="subscript"/>
        </w:rPr>
        <w:t xml:space="preserve">0.1</w:t>
      </w:r>
      <w:r>
        <w:t xml:space="preserve">O</w:t>
      </w:r>
      <w:r>
        <w:rPr>
          <w:vertAlign w:val="subscript"/>
        </w:rPr>
        <w:t xml:space="preserve">2</w:t>
      </w:r>
      <w:r>
        <w:t xml:space="preserve">) were calculated following the approach of Richards et al. [11], with the GrandPotentialInterfacialReactivity class of pymatgen [12]. For each SE/NCM pair, the entries of the corresponding chemical system (Li–Ni–Co–Mn–P–S–O–Cl, with Nd added for NdO-LPSCl</w:t>
      </w:r>
      <w:r>
        <w:rPr>
          <w:vertAlign w:val="subscript"/>
        </w:rPr>
        <w:t xml:space="preserve">1.6</w:t>
      </w:r>
      <w:r>
        <w:t xml:space="preserve">) were retrieved from the Materials Project database [7] with mixed GGA/GGA+</w:t>
      </w:r>
      <w:r>
        <w:rPr>
          <w:i/>
          <w:iCs/>
        </w:rPr>
        <w:t xml:space="preserve">U</w:t>
      </w:r>
      <w:r>
        <w:t xml:space="preserve"> energies [13] (queried with the mp</w:t>
      </w:r>
      <w:r>
        <w:t xml:space="preserve">_</w:t>
      </w:r>
      <w:r>
        <w:t xml:space="preserve">api client in September 2026). LPSCl</w:t>
      </w:r>
      <w:r>
        <w:rPr>
          <w:vertAlign w:val="subscript"/>
        </w:rPr>
        <w:t xml:space="preserve">1.6</w:t>
      </w:r>
      <w:r>
        <w:t xml:space="preserve"> (Li</w:t>
      </w:r>
      <w:r>
        <w:rPr>
          <w:vertAlign w:val="subscript"/>
        </w:rPr>
        <w:t xml:space="preserve">5.4</w:t>
      </w:r>
      <w:r>
        <w:t xml:space="preserve">PS</w:t>
      </w:r>
      <w:r>
        <w:rPr>
          <w:vertAlign w:val="subscript"/>
        </w:rPr>
        <w:t xml:space="preserve">4.4</w:t>
      </w:r>
      <w:r>
        <w:t xml:space="preserve">Cl</w:t>
      </w:r>
      <w:r>
        <w:rPr>
          <w:vertAlign w:val="subscript"/>
        </w:rPr>
        <w:t xml:space="preserve">1.6</w:t>
      </w:r>
      <w:r>
        <w:t xml:space="preserve">) and NdO-LPSCl</w:t>
      </w:r>
      <w:r>
        <w:rPr>
          <w:vertAlign w:val="subscript"/>
        </w:rPr>
        <w:t xml:space="preserve">1.6</w:t>
      </w:r>
      <w:r>
        <w:t xml:space="preserve"> (Li</w:t>
      </w:r>
      <w:r>
        <w:rPr>
          <w:vertAlign w:val="subscript"/>
        </w:rPr>
        <w:t xml:space="preserve">5.44</w:t>
      </w:r>
      <w:r>
        <w:t xml:space="preserve">Nd</w:t>
      </w:r>
      <w:r>
        <w:rPr>
          <w:vertAlign w:val="subscript"/>
        </w:rPr>
        <w:t xml:space="preserve">0.02</w:t>
      </w:r>
      <w:r>
        <w:t xml:space="preserve">P</w:t>
      </w:r>
      <w:r>
        <w:rPr>
          <w:vertAlign w:val="subscript"/>
        </w:rPr>
        <w:t xml:space="preserve">0.98</w:t>
      </w:r>
      <w:r>
        <w:t xml:space="preserve">S</w:t>
      </w:r>
      <w:r>
        <w:rPr>
          <w:vertAlign w:val="subscript"/>
        </w:rPr>
        <w:t xml:space="preserve">4.37</w:t>
      </w:r>
      <w:r>
        <w:t xml:space="preserve">O</w:t>
      </w:r>
      <w:r>
        <w:rPr>
          <w:vertAlign w:val="subscript"/>
        </w:rPr>
        <w:t xml:space="preserve">0.03</w:t>
      </w:r>
      <w:r>
        <w:t xml:space="preserve">Cl</w:t>
      </w:r>
      <w:r>
        <w:rPr>
          <w:vertAlign w:val="subscript"/>
        </w:rPr>
        <w:t xml:space="preserve">1.6</w:t>
      </w:r>
      <w:r>
        <w:t xml:space="preserve">), which are not in the database, were represented by the convex-hull energies at their compositions. The interface was treated as open to a Li reservoir whose chemical potential was set by the applied voltage </w:t>
      </w:r>
      <w:r>
        <w:rPr>
          <w:i/>
          <w:iCs/>
        </w:rPr>
        <w:t xml:space="preserve">φ</w:t>
      </w:r>
      <w:r>
        <w:t xml:space="preserve"> (vs. Li/Li</w:t>
      </w:r>
      <w:r>
        <w:rPr>
          <w:vertAlign w:val="superscript"/>
        </w:rPr>
        <w:t xml:space="preserve">+</w:t>
      </w:r>
      <w:r>
        <w:t xml:space="preserve">) through Eq. (S1) [14], where </w:t>
      </w:r>
      <w:r>
        <w:rPr>
          <w:i/>
          <w:iCs/>
        </w:rPr>
        <w:t xml:space="preserve">μ</w:t>
      </w:r>
      <w:r>
        <w:rPr>
          <w:vertAlign w:val="subscript"/>
        </w:rPr>
        <w:t xml:space="preserve">Li</w:t>
      </w:r>
      <w:r>
        <w:rPr>
          <w:vertAlign w:val="superscript"/>
        </w:rPr>
        <w:t xml:space="preserve">0</w:t>
      </w:r>
      <w:r>
        <w:t xml:space="preserve"> is the energy per atom of Li metal (the lowest-energy elemental Li entry) and </w:t>
      </w:r>
      <w:r>
        <w:rPr>
          <w:i/>
          <w:iCs/>
        </w:rPr>
        <w:t xml:space="preserve">e</w:t>
      </w:r>
      <w:r>
        <w:t xml:space="preserve"> is the elementary charge. With the grand potential of each phase defined by Eq. (S2), where </w:t>
      </w:r>
      <w:r>
        <w:rPr>
          <w:i/>
          <w:iCs/>
        </w:rPr>
        <w:t xml:space="preserve">E</w:t>
      </w:r>
      <w:r>
        <w:t xml:space="preserve"> is its energy and </w:t>
      </w:r>
      <w:r>
        <w:rPr>
          <w:i/>
          <w:iCs/>
        </w:rPr>
        <w:t xml:space="preserve">N</w:t>
      </w:r>
      <w:r>
        <w:rPr>
          <w:vertAlign w:val="subscript"/>
        </w:rPr>
        <w:t xml:space="preserve">Li</w:t>
      </w:r>
      <w:r>
        <w:t xml:space="preserve"> is its number of Li atoms, the reaction energy at each voltage was obtained from Eq. (S3), where </w:t>
      </w:r>
      <w:r>
        <w:rPr>
          <w:i/>
          <w:iCs/>
        </w:rPr>
        <w:t xml:space="preserve">x</w:t>
      </w:r>
      <w:r>
        <w:t xml:space="preserve"> (0 ≤ </w:t>
      </w:r>
      <w:r>
        <w:rPr>
          <w:i/>
          <w:iCs/>
        </w:rPr>
        <w:t xml:space="preserve">x</w:t>
      </w:r>
      <w:r>
        <w:t xml:space="preserve"> ≤ 1) is the fraction of SE in the SE/NCM mixture, </w:t>
      </w:r>
      <w:r>
        <w:rPr>
          <w:i/>
          <w:iCs/>
        </w:rPr>
        <w:t xml:space="preserve">Φ</w:t>
      </w:r>
      <w:r>
        <w:rPr>
          <w:vertAlign w:val="subscript"/>
        </w:rPr>
        <w:t xml:space="preserve">eq</w:t>
      </w:r>
      <w:r>
        <w:t xml:space="preserve">(</w:t>
      </w:r>
      <w:r>
        <w:rPr>
          <w:i/>
          <w:iCs/>
        </w:rPr>
        <w:t xml:space="preserve">x</w:t>
      </w:r>
      <w:r>
        <w:t xml:space="preserve">) is the grand potential of the equilibrium phases at the composition of the mixture, and </w:t>
      </w:r>
      <w:r>
        <w:rPr>
          <w:i/>
          <w:iCs/>
        </w:rPr>
        <w:t xml:space="preserve">Φ</w:t>
      </w:r>
      <w:r>
        <w:rPr>
          <w:vertAlign w:val="subscript"/>
        </w:rPr>
        <w:t xml:space="preserve">SE</w:t>
      </w:r>
      <w:r>
        <w:t xml:space="preserve"> and </w:t>
      </w:r>
      <w:r>
        <w:rPr>
          <w:i/>
          <w:iCs/>
        </w:rPr>
        <w:t xml:space="preserve">Φ</w:t>
      </w:r>
      <w:r>
        <w:rPr>
          <w:vertAlign w:val="subscript"/>
        </w:rPr>
        <w:t xml:space="preserve">NCM</w:t>
      </w:r>
      <w:r>
        <w:t xml:space="preserve"> are the grand potentials of the unreacted SE and NCM evaluated from their convex-hull energies; all grand potentials were normalized per atom excluding Li. The calculations were performed at </w:t>
      </w:r>
      <w:r>
        <w:rPr>
          <w:i/>
          <w:iCs/>
        </w:rPr>
        <w:t xml:space="preserve">φ</w:t>
      </w:r>
      <w:r>
        <w:t xml:space="preserve"> = 2.5, 3.0, 3.5, 4.0, 4.3, and 4.5 V, and the reaction products were taken from the equilibrium phases at the minimizing </w:t>
      </w:r>
      <w:r>
        <w:rPr>
          <w:i/>
          <w:iCs/>
        </w:rPr>
        <w:t xml:space="preserve">x</w:t>
      </w:r>
      <w:r>
        <w:t xml:space="preserve">. At every voltage, the minimum for both SEs lies at an intermediate mixing fraction (0 &lt; </w:t>
      </w:r>
      <w:r>
        <w:rPr>
          <w:i/>
          <w:iCs/>
        </w:rPr>
        <w:t xml:space="preserve">x</w:t>
      </w:r>
      <w:r>
        <w:t xml:space="preserve"> &lt; 1), that is, the reaction involves both the SE and NCM.</w:t>
      </w:r>
    </w:p>
    <w:p>
      <w:pPr>
        <w:tabs>
          <w:tab w:val="center" w:pos="4513"/>
          <w:tab w:val="right" w:pos="9026"/>
        </w:tabs>
        <w:spacing w:after="0" w:line="480" w:lineRule="auto"/>
      </w:pPr>
      <w:r>
        <w:tab/>
      </w:r>
      <m:oMath>
        <m:sSub>
          <m:e>
            <m:r>
              <w:rPr>
                <w:rFonts w:ascii="Cambria Math" w:hAnsi="Cambria Math"/>
              </w:rPr>
              <m:t xml:space="preserve">μ</m:t>
            </m:r>
          </m:e>
          <m:sub>
            <m:r>
              <m:rPr>
                <m:sty m:val="p"/>
              </m:rPr>
              <w:rPr>
                <w:rFonts w:ascii="Cambria Math" w:hAnsi="Cambria Math"/>
              </w:rPr>
              <m:t xml:space="preserve">Li</m:t>
            </m:r>
          </m:sub>
        </m:sSub>
        <m:d>
          <m:e>
            <m:r>
              <w:rPr>
                <w:rFonts w:ascii="Cambria Math" w:hAnsi="Cambria Math"/>
              </w:rPr>
              <m:t xml:space="preserve">φ</m:t>
            </m:r>
          </m:e>
        </m:d>
        <m:r>
          <m:rPr>
            <m:sty m:val="p"/>
          </m:rPr>
          <w:rPr>
            <w:rFonts w:ascii="Cambria Math" w:hAnsi="Cambria Math"/>
          </w:rPr>
          <m:t xml:space="preserve">=</m:t>
        </m:r>
        <m:sSubSup>
          <m:e>
            <m:r>
              <w:rPr>
                <w:rFonts w:ascii="Cambria Math" w:hAnsi="Cambria Math"/>
              </w:rPr>
              <m:t xml:space="preserve">μ</m:t>
            </m:r>
          </m:e>
          <m:sub>
            <m:r>
              <m:rPr>
                <m:sty m:val="p"/>
              </m:rPr>
              <w:rPr>
                <w:rFonts w:ascii="Cambria Math" w:hAnsi="Cambria Math"/>
              </w:rPr>
              <m:t xml:space="preserve">Li</m:t>
            </m:r>
          </m:sub>
          <m:sup>
            <m:r>
              <m:rPr>
                <m:sty m:val="p"/>
              </m:rPr>
              <w:rPr>
                <w:rFonts w:ascii="Cambria Math" w:hAnsi="Cambria Math"/>
              </w:rPr>
              <m:t xml:space="preserve">0</m:t>
            </m:r>
          </m:sup>
        </m:sSubSup>
        <m:r>
          <m:rPr>
            <m:sty m:val="p"/>
          </m:rPr>
          <w:rPr>
            <w:rFonts w:ascii="Cambria Math" w:hAnsi="Cambria Math"/>
          </w:rPr>
          <m:t xml:space="preserve">−</m:t>
        </m:r>
        <m:r>
          <w:rPr>
            <w:rFonts w:ascii="Cambria Math" w:hAnsi="Cambria Math"/>
          </w:rPr>
          <m:t xml:space="preserve">e</m:t>
        </m:r>
        <m:r>
          <w:rPr>
            <w:rFonts w:ascii="Cambria Math" w:hAnsi="Cambria Math"/>
          </w:rPr>
          <m:t xml:space="preserve">φ</m:t>
        </m:r>
      </m:oMath>
      <w:r>
        <w:tab/>
        <w:t xml:space="preserve">(S1)</w:t>
      </w:r>
    </w:p>
    <w:p>
      <w:pPr>
        <w:tabs>
          <w:tab w:val="center" w:pos="4513"/>
          <w:tab w:val="right" w:pos="9026"/>
        </w:tabs>
        <w:spacing w:after="0" w:line="480" w:lineRule="auto"/>
      </w:pPr>
      <w:r>
        <w:tab/>
      </w:r>
      <m:oMath>
        <m:r>
          <w:rPr>
            <w:rFonts w:ascii="Cambria Math" w:hAnsi="Cambria Math"/>
          </w:rPr>
          <m:t xml:space="preserve">Φ</m:t>
        </m:r>
        <m:r>
          <m:rPr>
            <m:sty m:val="p"/>
          </m:rPr>
          <w:rPr>
            <w:rFonts w:ascii="Cambria Math" w:hAnsi="Cambria Math"/>
          </w:rPr>
          <m:t xml:space="preserve">=</m:t>
        </m:r>
        <m:r>
          <w:rPr>
            <w:rFonts w:ascii="Cambria Math" w:hAnsi="Cambria Math"/>
          </w:rPr>
          <m:t xml:space="preserve">E</m:t>
        </m:r>
        <m:r>
          <m:rPr>
            <m:sty m:val="p"/>
          </m:rPr>
          <w:rPr>
            <w:rFonts w:ascii="Cambria Math" w:hAnsi="Cambria Math"/>
          </w:rPr>
          <m:t xml:space="preserve">−</m:t>
        </m:r>
        <m:sSub>
          <m:e>
            <m:r>
              <w:rPr>
                <w:rFonts w:ascii="Cambria Math" w:hAnsi="Cambria Math"/>
              </w:rPr>
              <m:t xml:space="preserve">μ</m:t>
            </m:r>
          </m:e>
          <m:sub>
            <m:r>
              <m:rPr>
                <m:sty m:val="p"/>
              </m:rPr>
              <w:rPr>
                <w:rFonts w:ascii="Cambria Math" w:hAnsi="Cambria Math"/>
              </w:rPr>
              <m:t xml:space="preserve">Li</m:t>
            </m:r>
          </m:sub>
        </m:sSub>
        <m:sSub>
          <m:e>
            <m:r>
              <w:rPr>
                <w:rFonts w:ascii="Cambria Math" w:hAnsi="Cambria Math"/>
              </w:rPr>
              <m:t xml:space="preserve">N</m:t>
            </m:r>
          </m:e>
          <m:sub>
            <m:r>
              <m:rPr>
                <m:sty m:val="p"/>
              </m:rPr>
              <w:rPr>
                <w:rFonts w:ascii="Cambria Math" w:hAnsi="Cambria Math"/>
              </w:rPr>
              <m:t xml:space="preserve">Li</m:t>
            </m:r>
          </m:sub>
        </m:sSub>
      </m:oMath>
      <w:r>
        <w:tab/>
        <w:t xml:space="preserve">(S2)</w:t>
      </w:r>
    </w:p>
    <w:p>
      <w:pPr>
        <w:tabs>
          <w:tab w:val="center" w:pos="4513"/>
          <w:tab w:val="right" w:pos="9026"/>
        </w:tabs>
        <w:spacing w:after="0" w:line="480" w:lineRule="auto"/>
      </w:pPr>
      <w:r>
        <w:tab/>
      </w:r>
      <m:oMath>
        <m:r>
          <m:rPr>
            <m:sty m:val="p"/>
          </m:rPr>
          <w:rPr>
            <w:rFonts w:ascii="Cambria Math" w:hAnsi="Cambria Math"/>
          </w:rPr>
          <m:t xml:space="preserve">Δ</m:t>
        </m:r>
        <m:sSub>
          <m:e>
            <m:r>
              <w:rPr>
                <w:rFonts w:ascii="Cambria Math" w:hAnsi="Cambria Math"/>
              </w:rPr>
              <m:t xml:space="preserve">E</m:t>
            </m:r>
          </m:e>
          <m:sub>
            <m:r>
              <m:rPr>
                <m:sty m:val="p"/>
              </m:rPr>
              <w:rPr>
                <w:rFonts w:ascii="Cambria Math" w:hAnsi="Cambria Math"/>
              </w:rPr>
              <m:t xml:space="preserve">rxn</m:t>
            </m:r>
          </m:sub>
        </m:sSub>
        <m:d>
          <m:e>
            <m:r>
              <w:rPr>
                <w:rFonts w:ascii="Cambria Math" w:hAnsi="Cambria Math"/>
              </w:rPr>
              <m:t xml:space="preserve">φ</m:t>
            </m:r>
          </m:e>
        </m:d>
        <m:r>
          <m:rPr>
            <m:sty m:val="p"/>
          </m:rPr>
          <w:rPr>
            <w:rFonts w:ascii="Cambria Math" w:hAnsi="Cambria Math"/>
          </w:rPr>
          <m:t xml:space="preserve">=</m:t>
        </m:r>
        <m:func>
          <m:fName>
            <m:limLow>
              <m:e>
                <m:r>
                  <m:rPr>
                    <m:sty m:val="p"/>
                  </m:rPr>
                  <w:rPr>
                    <w:rFonts w:ascii="Cambria Math" w:hAnsi="Cambria Math"/>
                  </w:rPr>
                  <m:t xml:space="preserve">min</m:t>
                </m:r>
              </m:e>
              <m:lim>
                <m:r>
                  <w:rPr>
                    <w:rFonts w:ascii="Cambria Math" w:hAnsi="Cambria Math"/>
                  </w:rPr>
                  <m:t xml:space="preserve">x</m:t>
                </m:r>
              </m:lim>
            </m:limLow>
          </m:fName>
          <m:e>
            <m:d>
              <m:dPr>
                <m:begChr m:val="["/>
                <m:endChr m:val="]"/>
              </m:dPr>
              <m:e>
                <m:sSub>
                  <m:e>
                    <m:r>
                      <w:rPr>
                        <w:rFonts w:ascii="Cambria Math" w:hAnsi="Cambria Math"/>
                      </w:rPr>
                      <m:t xml:space="preserve">Φ</m:t>
                    </m:r>
                  </m:e>
                  <m:sub>
                    <m:r>
                      <m:rPr>
                        <m:sty m:val="p"/>
                      </m:rPr>
                      <w:rPr>
                        <w:rFonts w:ascii="Cambria Math" w:hAnsi="Cambria Math"/>
                      </w:rPr>
                      <m:t xml:space="preserve">eq</m:t>
                    </m:r>
                  </m:sub>
                </m:sSub>
                <m:d>
                  <m:e>
                    <m:r>
                      <w:rPr>
                        <w:rFonts w:ascii="Cambria Math" w:hAnsi="Cambria Math"/>
                      </w:rPr>
                      <m:t xml:space="preserve">x</m:t>
                    </m:r>
                  </m:e>
                </m:d>
                <m:r>
                  <m:rPr>
                    <m:sty m:val="p"/>
                  </m:rPr>
                  <w:rPr>
                    <w:rFonts w:ascii="Cambria Math" w:hAnsi="Cambria Math"/>
                  </w:rPr>
                  <m:t xml:space="preserve">−</m:t>
                </m:r>
                <m:r>
                  <w:rPr>
                    <w:rFonts w:ascii="Cambria Math" w:hAnsi="Cambria Math"/>
                  </w:rPr>
                  <m:t xml:space="preserve">x</m:t>
                </m:r>
                <m:sSub>
                  <m:e>
                    <m:r>
                      <w:rPr>
                        <w:rFonts w:ascii="Cambria Math" w:hAnsi="Cambria Math"/>
                      </w:rPr>
                      <m:t xml:space="preserve">Φ</m:t>
                    </m:r>
                  </m:e>
                  <m:sub>
                    <m:r>
                      <m:rPr>
                        <m:sty m:val="p"/>
                      </m:rPr>
                      <w:rPr>
                        <w:rFonts w:ascii="Cambria Math" w:hAnsi="Cambria Math"/>
                      </w:rPr>
                      <m:t xml:space="preserve">SE</m:t>
                    </m:r>
                  </m:sub>
                </m:sSub>
                <m:r>
                  <m:rPr>
                    <m:sty m:val="p"/>
                  </m:rPr>
                  <w:rPr>
                    <w:rFonts w:ascii="Cambria Math" w:hAnsi="Cambria Math"/>
                  </w:rPr>
                  <m:t xml:space="preserve">−</m:t>
                </m:r>
                <m:d>
                  <m:e>
                    <m:r>
                      <m:rPr>
                        <m:sty m:val="p"/>
                      </m:rPr>
                      <w:rPr>
                        <w:rFonts w:ascii="Cambria Math" w:hAnsi="Cambria Math"/>
                      </w:rPr>
                      <m:t xml:space="preserve">1</m:t>
                    </m:r>
                    <m:r>
                      <m:rPr>
                        <m:sty m:val="p"/>
                      </m:rPr>
                      <w:rPr>
                        <w:rFonts w:ascii="Cambria Math" w:hAnsi="Cambria Math"/>
                      </w:rPr>
                      <m:t xml:space="preserve">−</m:t>
                    </m:r>
                    <m:r>
                      <w:rPr>
                        <w:rFonts w:ascii="Cambria Math" w:hAnsi="Cambria Math"/>
                      </w:rPr>
                      <m:t xml:space="preserve">x</m:t>
                    </m:r>
                  </m:e>
                </m:d>
                <m:sSub>
                  <m:e>
                    <m:r>
                      <w:rPr>
                        <w:rFonts w:ascii="Cambria Math" w:hAnsi="Cambria Math"/>
                      </w:rPr>
                      <m:t xml:space="preserve">Φ</m:t>
                    </m:r>
                  </m:e>
                  <m:sub>
                    <m:r>
                      <m:rPr>
                        <m:sty m:val="p"/>
                      </m:rPr>
                      <w:rPr>
                        <w:rFonts w:ascii="Cambria Math" w:hAnsi="Cambria Math"/>
                      </w:rPr>
                      <m:t xml:space="preserve">NCM</m:t>
                    </m:r>
                  </m:sub>
                </m:sSub>
              </m:e>
            </m:d>
          </m:e>
        </m:func>
      </m:oMath>
      <w:r>
        <w:tab/>
        <w:t xml:space="preserve">(S3)</w:t>
      </w:r>
    </w:p>
    <w:p>
      <w:pPr>
        <w:spacing w:after="0" w:line="480" w:lineRule="auto"/>
        <w:ind w:firstLineChars="150" w:firstLine="360"/>
        <w:jc w:val="both"/>
      </w:pPr>
      <w:r>
        <w:t xml:space="preserve">The band gaps of the Nd-containing CEI components, including NdP</w:t>
      </w:r>
      <w:r>
        <w:rPr>
          <w:vertAlign w:val="subscript"/>
        </w:rPr>
        <w:t xml:space="preserve">5</w:t>
      </w:r>
      <w:r>
        <w:t xml:space="preserve">O</w:t>
      </w:r>
      <w:r>
        <w:rPr>
          <w:vertAlign w:val="subscript"/>
        </w:rPr>
        <w:t xml:space="preserve">14</w:t>
      </w:r>
      <w:r>
        <w:t xml:space="preserve"> (mp-560681, </w:t>
      </w:r>
      <w:r>
        <w:rPr>
          <w:i/>
          <w:iCs/>
        </w:rPr>
        <w:t xml:space="preserve">Pmna</w:t>
      </w:r>
      <w:r>
        <w:t xml:space="preserve">), were calculated with the same procedure, but with PAW datasets from PSlibrary for all elements [9] (Li.pbe-sl-kjpaw</w:t>
      </w:r>
      <w:r>
        <w:t xml:space="preserve">_</w:t>
      </w:r>
      <w:r>
        <w:t xml:space="preserve">psl.1.0.0, P.pbe-n-kjpaw</w:t>
      </w:r>
      <w:r>
        <w:t xml:space="preserve">_</w:t>
      </w:r>
      <w:r>
        <w:t xml:space="preserve">psl.1.0.0, S.pbe-nl-kjpaw</w:t>
      </w:r>
      <w:r>
        <w:t xml:space="preserve">_</w:t>
      </w:r>
      <w:r>
        <w:t xml:space="preserve">psl.1.0.0, Cl.pbe-nl-kjpaw</w:t>
      </w:r>
      <w:r>
        <w:t xml:space="preserve">_</w:t>
      </w:r>
      <w:r>
        <w:t xml:space="preserve">psl.1.0.0, O.pbe-n-kjpaw</w:t>
      </w:r>
      <w:r>
        <w:t xml:space="preserve">_</w:t>
      </w:r>
      <w:r>
        <w:t xml:space="preserve">psl.0.1, and Nd.pbe-spdn-kjpaw</w:t>
      </w:r>
      <w:r>
        <w:t xml:space="preserve">_</w:t>
      </w:r>
      <w:r>
        <w:t xml:space="preserve">psl.1.0.0). Because the Nd 4</w:t>
      </w:r>
      <w:r>
        <w:rPr>
          <w:i/>
          <w:iCs/>
        </w:rPr>
        <w:t xml:space="preserve">f</w:t>
      </w:r>
      <w:r>
        <w:t xml:space="preserve"> electrons are frozen in the core of the Nd dataset, the calculations were non-spin-polarized and no Hubbard </w:t>
      </w:r>
      <w:r>
        <w:rPr>
          <w:i/>
          <w:iCs/>
        </w:rPr>
        <w:t xml:space="preserve">U</w:t>
      </w:r>
      <w:r>
        <w:t xml:space="preserve"> correction was applied. After relaxation, the residual pressures were within ±1 kbar.</w:t>
      </w:r>
    </w:p>
    <w:p>
      <w:pPr>
        <w:spacing w:before="240" w:after="240" w:line="480" w:lineRule="auto"/>
      </w:pPr>
      <w:r>
        <w:rPr>
          <w:i/>
          <w:iCs/>
        </w:rPr>
        <w:t xml:space="preserve">References</w:t>
      </w:r>
    </w:p>
    <w:p>
      <w:pPr>
        <w:tabs>
          <w:tab w:val="left" w:pos="560"/>
        </w:tabs>
        <w:spacing w:after="0" w:line="480" w:lineRule="auto"/>
        <w:ind w:left="560" w:hanging="560"/>
      </w:pPr>
      <w:r>
        <w:t xml:space="preserve">[1]</w:t>
      </w:r>
      <w:r>
        <w:tab/>
      </w:r>
      <w:r>
        <w:t xml:space="preserve">P. Giannozzi, S. Baroni, N. Bonini, M. Calandra, R. Car, C. Cavazzoni, D. Ceresoli, G. L. Chiarotti, M. Cococcioni, I. Dabo, A. Dal Corso, S. de Gironcoli, S. Fabris, G. Fratesi, R. Gebauer, U. Gerstmann, C. Gougoussis, A. Kokalj, M. Lazzeri, L. Martin-Samos, N. Marzari, F. Mauri, R. Mazzarello, S. Paolini, A. Pasquarello, L. Paulatto, C. Sbraccia, S. Scandolo, G. Sclauzero, A. P. Seitsonen, A. Smogunov, P. Umari, R. M. Wentzcovitch, QUANTUM ESPRESSO: a modular and open-source software project for quantum simulations of materials, J. Phys.: Condens. Matter 21 (2009) 395502. https://doi.org/10.1088/0953-8984/21/39/395502.</w:t>
      </w:r>
    </w:p>
    <w:p>
      <w:pPr>
        <w:tabs>
          <w:tab w:val="left" w:pos="560"/>
        </w:tabs>
        <w:spacing w:after="0" w:line="480" w:lineRule="auto"/>
        <w:ind w:left="560" w:hanging="560"/>
      </w:pPr>
      <w:r>
        <w:t xml:space="preserve">[2]</w:t>
      </w:r>
      <w:r>
        <w:tab/>
      </w:r>
      <w:r>
        <w:t xml:space="preserve">P. Giannozzi, O. Andreussi, T. Brumme, O. Bunau, M. Buongiorno Nardelli, M. Calandra, R. Car, C. Cavazzoni, D. Ceresoli, M. Cococcioni, N. Colonna, I. Carnimeo, A. Dal Corso, S. de Gironcoli, P. Delugas, R. A. DiStasio Jr., A. Ferretti, A. Floris, G. Fratesi, G. Fugallo, R. Gebauer, U. Gerstmann, F. Giustino, T. Gorni, J. Jia, M. Kawamura, H.-Y. Ko, A. Kokalj, E. Küçükbenli, M. Lazzeri, M. Marsili, N. Marzari, F. Mauri, N. L. Nguyen, H.-V. Nguyen, A. Otero-de-la-Roza, L. Paulatto, S. Poncé, D. Rocca, R. Sabatini, B. Santra, M. Schlipf, A. P. Seitsonen, A. Smogunov, I. Timrov, T. Thonhauser, P. Umari, N. Vast, X. Wu, S. Baroni, Advanced capabilities for materials modelling with Quantum ESPRESSO, J. Phys.: Condens. Matter 29 (2017) 465901. https://doi.org/10.1088/1361-648X/aa8f79.</w:t>
      </w:r>
    </w:p>
    <w:p>
      <w:pPr>
        <w:tabs>
          <w:tab w:val="left" w:pos="560"/>
        </w:tabs>
        <w:spacing w:after="0" w:line="480" w:lineRule="auto"/>
        <w:ind w:left="560" w:hanging="560"/>
      </w:pPr>
      <w:r>
        <w:t xml:space="preserve">[3]</w:t>
      </w:r>
      <w:r>
        <w:tab/>
      </w:r>
      <w:r>
        <w:t xml:space="preserve">P. Giannozzi, O. Baseggio, P. Bonfà, D. Brunato, R. Car, I. Carnimeo, C. Cavazzoni, S. de Gironcoli, P. Delugas, F. Ferrari Ruffino, A. Ferretti, N. Marzari, I. Timrov, A. Urru, S. Baroni, Quantum ESPRESSO toward the exascale, J. Chem. Phys. 152 (2020) 154105. https://doi.org/10.1063/5.0005082.</w:t>
      </w:r>
    </w:p>
    <w:p>
      <w:pPr>
        <w:tabs>
          <w:tab w:val="left" w:pos="560"/>
        </w:tabs>
        <w:spacing w:after="0" w:line="480" w:lineRule="auto"/>
        <w:ind w:left="560" w:hanging="560"/>
      </w:pPr>
      <w:r>
        <w:t xml:space="preserve">[4]</w:t>
      </w:r>
      <w:r>
        <w:tab/>
      </w:r>
      <w:r>
        <w:t xml:space="preserve">J. P. Perdew, K. Burke, M. Ernzerhof, Generalized gradient approximation made simple, Phys. Rev. Lett. 77 (1996) 3865–3868. https://doi.org/10.1103/PhysRevLett.77.3865.</w:t>
      </w:r>
    </w:p>
    <w:p>
      <w:pPr>
        <w:tabs>
          <w:tab w:val="left" w:pos="560"/>
        </w:tabs>
        <w:spacing w:after="0" w:line="480" w:lineRule="auto"/>
        <w:ind w:left="560" w:hanging="560"/>
      </w:pPr>
      <w:r>
        <w:t xml:space="preserve">[5]</w:t>
      </w:r>
      <w:r>
        <w:tab/>
      </w:r>
      <w:r>
        <w:t xml:space="preserve">H. J. Monkhorst, J. D. Pack, Special points for Brillouin-zone integrations, Phys. Rev. B 13 (1976) 5188–5192. https://doi.org/10.1103/PhysRevB.13.5188.</w:t>
      </w:r>
    </w:p>
    <w:p>
      <w:pPr>
        <w:tabs>
          <w:tab w:val="left" w:pos="560"/>
        </w:tabs>
        <w:spacing w:after="0" w:line="480" w:lineRule="auto"/>
        <w:ind w:left="560" w:hanging="560"/>
      </w:pPr>
      <w:r>
        <w:t xml:space="preserve">[6]</w:t>
      </w:r>
      <w:r>
        <w:tab/>
      </w:r>
      <w:r>
        <w:t xml:space="preserve">G. Henkelman, B. P. Uberuaga, H. Jónsson, A climbing image nudged elastic band method for finding saddle points and minimum energy paths, J. Chem. Phys. 113 (2000) 9901–9904. https://doi.org/10.1063/1.1329672.</w:t>
      </w:r>
    </w:p>
    <w:p>
      <w:pPr>
        <w:tabs>
          <w:tab w:val="left" w:pos="560"/>
        </w:tabs>
        <w:spacing w:after="0" w:line="480" w:lineRule="auto"/>
        <w:ind w:left="560" w:hanging="560"/>
      </w:pPr>
      <w:r>
        <w:t xml:space="preserve">[7]</w:t>
      </w:r>
      <w:r>
        <w:tab/>
      </w:r>
      <w:r>
        <w:t xml:space="preserve">A. Jain, S. P. Ong, G. Hautier, W. Chen, W. D. Richards, S. Dacek, S. Cholia, D. Gunter, D. Skinner, G. Ceder, K. A. Persson, Commentary: The Materials Project: A materials genome approach to accelerating materials innovation, APL Mater. 1 (2013) 011002. https://doi.org/10.1063/1.4812323.</w:t>
      </w:r>
    </w:p>
    <w:p>
      <w:pPr>
        <w:tabs>
          <w:tab w:val="left" w:pos="560"/>
        </w:tabs>
        <w:spacing w:after="0" w:line="480" w:lineRule="auto"/>
        <w:ind w:left="560" w:hanging="560"/>
      </w:pPr>
      <w:r>
        <w:t xml:space="preserve">[8]</w:t>
      </w:r>
      <w:r>
        <w:tab/>
      </w:r>
      <w:r>
        <w:t xml:space="preserve">K. F. Garrity, J. W. Bennett, K. M. Rabe, D. Vanderbilt, Pseudopotentials for high-throughput DFT calculations, Comput. Mater. Sci. 81 (2014) 446–452. https://doi.org/10.1016/j.commatsci.2013.08.053.</w:t>
      </w:r>
    </w:p>
    <w:p>
      <w:pPr>
        <w:tabs>
          <w:tab w:val="left" w:pos="560"/>
        </w:tabs>
        <w:spacing w:after="0" w:line="480" w:lineRule="auto"/>
        <w:ind w:left="560" w:hanging="560"/>
      </w:pPr>
      <w:r>
        <w:t xml:space="preserve">[9]</w:t>
      </w:r>
      <w:r>
        <w:tab/>
      </w:r>
      <w:r>
        <w:t xml:space="preserve">A. Dal Corso, Pseudopotentials periodic table: From H to Pu, Comput. Mater. Sci. 95 (2014) 337–350. https://doi.org/10.1016/j.commatsci.2014.07.043.</w:t>
      </w:r>
    </w:p>
    <w:p>
      <w:pPr>
        <w:tabs>
          <w:tab w:val="left" w:pos="560"/>
        </w:tabs>
        <w:spacing w:after="0" w:line="480" w:lineRule="auto"/>
        <w:ind w:left="560" w:hanging="560"/>
      </w:pPr>
      <w:r>
        <w:t xml:space="preserve">[10]</w:t>
      </w:r>
      <w:r>
        <w:tab/>
      </w:r>
      <w:r>
        <w:t xml:space="preserve">N. Marzari, D. Vanderbilt, A. De Vita, M. C. Payne, Thermal contraction and disordering of the Al(110) surface, Phys. Rev. Lett. 82 (1999) 3296–3299. https://doi.org/10.1103/PhysRevLett.82.3296.</w:t>
      </w:r>
    </w:p>
    <w:p>
      <w:pPr>
        <w:tabs>
          <w:tab w:val="left" w:pos="560"/>
        </w:tabs>
        <w:spacing w:after="0" w:line="480" w:lineRule="auto"/>
        <w:ind w:left="560" w:hanging="560"/>
      </w:pPr>
      <w:r>
        <w:t xml:space="preserve">[11]</w:t>
      </w:r>
      <w:r>
        <w:tab/>
      </w:r>
      <w:r>
        <w:t xml:space="preserve">W. D. Richards, L. J. Miara, Y. Wang, J. C. Kim, G. Ceder, Interface stability in solid-state batteries, Chem. Mater. 28 (2016) 266–273. https://doi.org/10.1021/acs.chemmater.5b04082.</w:t>
      </w:r>
    </w:p>
    <w:p>
      <w:pPr>
        <w:tabs>
          <w:tab w:val="left" w:pos="560"/>
        </w:tabs>
        <w:spacing w:after="0" w:line="480" w:lineRule="auto"/>
        <w:ind w:left="560" w:hanging="560"/>
      </w:pPr>
      <w:r>
        <w:t xml:space="preserve">[12]</w:t>
      </w:r>
      <w:r>
        <w:tab/>
      </w:r>
      <w:r>
        <w:t xml:space="preserve">S. P. Ong, W. D. Richards, A. Jain, G. Hautier, M. Kocher, S. Cholia, D. Gunter, V. L. Chevrier, K. A. Persson, G. Ceder, Python Materials Genomics (pymatgen): A robust, open-source python library for materials analysis, Comput. Mater. Sci. 68 (2013) 314–319. https://doi.org/10.1016/j.commatsci.2012.10.028.</w:t>
      </w:r>
    </w:p>
    <w:p>
      <w:pPr>
        <w:tabs>
          <w:tab w:val="left" w:pos="560"/>
        </w:tabs>
        <w:spacing w:after="0" w:line="480" w:lineRule="auto"/>
        <w:ind w:left="560" w:hanging="560"/>
      </w:pPr>
      <w:r>
        <w:t xml:space="preserve">[13]</w:t>
      </w:r>
      <w:r>
        <w:tab/>
      </w:r>
      <w:r>
        <w:t xml:space="preserve">A. Jain, G. Hautier, S. P. Ong, C. J. Moore, C. C. Fischer, K. A. Persson, G. Ceder, Formation enthalpies by mixing GGA and GGA+U calculations, Phys. Rev. B 84 (2011) 045115. https://doi.org/10.1103/PhysRevB.84.045115.</w:t>
      </w:r>
    </w:p>
    <w:p>
      <w:pPr>
        <w:tabs>
          <w:tab w:val="left" w:pos="560"/>
        </w:tabs>
        <w:spacing w:after="0" w:line="480" w:lineRule="auto"/>
        <w:ind w:left="560" w:hanging="560"/>
      </w:pPr>
      <w:r>
        <w:t xml:space="preserve">[14]</w:t>
      </w:r>
      <w:r>
        <w:tab/>
      </w:r>
      <w:r>
        <w:t xml:space="preserve">Y. Zhu, X. He, Y. Mo, Origin of outstanding stability in the lithium solid electrolyte materials: Insights from thermodynamic analyses based on first-principles calculations, ACS Appl. Mater. Interfaces 7 (2015) 23685–23693. https://doi.org/10.1021/acsami.5b07517.</w:t>
      </w:r>
    </w:p>
    <w:sectPr w:rsidR="00C71D8E" w:rsidRPr="00D15B34">
      <w:pgSz w:w="11906" w:h="16838"/>
      <w:pgMar w:top="1701" w:right="1440" w:bottom="1440" w:left="1440" w:header="851" w:footer="992" w:gutter="0"/>
      <w:cols w:space="425"/>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grammar="clean"/>
  <w:defaultTabStop w:val="800"/>
  <w:displayHorizontalDrawingGridEvery w:val="0"/>
  <w:displayVerticalDrawingGridEvery w:val="2"/>
  <w:noPunctuationKerning/>
  <w:characterSpacingControl w:val="doNotCompres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5B34"/>
    <w:rsid w:val="00355836"/>
    <w:rsid w:val="00977C40"/>
    <w:rsid w:val="00C71D8E"/>
    <w:rsid w:val="00D15B34"/>
    <w:rsid w:val="00FF762E"/>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47FDF7"/>
  <w15:chartTrackingRefBased/>
  <w15:docId w15:val="{8D066B1B-066F-4522-8C30-83527923FB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EastAsia"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15B34"/>
    <w:pPr>
      <w:widowControl w:val="0"/>
      <w:spacing w:line="259" w:lineRule="auto"/>
    </w:pPr>
    <w:rPr>
      <w:rFonts w:ascii="Times New Roman" w:hAnsi="Times New Roman" w:cs="Times New Roman"/>
      <w:kern w:val="0"/>
      <w:sz w:val="24"/>
      <w:lang w:val="en"/>
      <w14:ligatures w14:val="none"/>
    </w:rPr>
  </w:style>
  <w:style w:type="paragraph" w:styleId="1">
    <w:name w:val="heading 1"/>
    <w:basedOn w:val="a"/>
    <w:next w:val="a"/>
    <w:link w:val="1Char"/>
    <w:uiPriority w:val="9"/>
    <w:qFormat/>
    <w:rsid w:val="00D15B34"/>
    <w:pPr>
      <w:keepNext/>
      <w:keepLines/>
      <w:wordWrap w:val="0"/>
      <w:autoSpaceDE w:val="0"/>
      <w:autoSpaceDN w:val="0"/>
      <w:spacing w:before="280" w:after="80" w:line="240" w:lineRule="auto"/>
      <w:outlineLvl w:val="0"/>
    </w:pPr>
    <w:rPr>
      <w:rFonts w:asciiTheme="majorHAnsi" w:eastAsiaTheme="majorEastAsia" w:hAnsiTheme="majorHAnsi" w:cstheme="majorBidi"/>
      <w:color w:val="000000" w:themeColor="text1"/>
      <w:kern w:val="2"/>
      <w:sz w:val="32"/>
      <w:szCs w:val="32"/>
      <w:lang w:val="en-US"/>
      <w14:ligatures w14:val="standardContextual"/>
    </w:rPr>
  </w:style>
  <w:style w:type="paragraph" w:styleId="2">
    <w:name w:val="heading 2"/>
    <w:basedOn w:val="a"/>
    <w:next w:val="a"/>
    <w:link w:val="2Char"/>
    <w:uiPriority w:val="9"/>
    <w:semiHidden/>
    <w:unhideWhenUsed/>
    <w:qFormat/>
    <w:rsid w:val="00D15B34"/>
    <w:pPr>
      <w:keepNext/>
      <w:keepLines/>
      <w:wordWrap w:val="0"/>
      <w:autoSpaceDE w:val="0"/>
      <w:autoSpaceDN w:val="0"/>
      <w:spacing w:before="160" w:after="80" w:line="240" w:lineRule="auto"/>
      <w:outlineLvl w:val="1"/>
    </w:pPr>
    <w:rPr>
      <w:rFonts w:asciiTheme="majorHAnsi" w:eastAsiaTheme="majorEastAsia" w:hAnsiTheme="majorHAnsi" w:cstheme="majorBidi"/>
      <w:color w:val="000000" w:themeColor="text1"/>
      <w:kern w:val="2"/>
      <w:sz w:val="28"/>
      <w:szCs w:val="28"/>
      <w:lang w:val="en-US"/>
      <w14:ligatures w14:val="standardContextual"/>
    </w:rPr>
  </w:style>
  <w:style w:type="paragraph" w:styleId="3">
    <w:name w:val="heading 3"/>
    <w:basedOn w:val="a"/>
    <w:next w:val="a"/>
    <w:link w:val="3Char"/>
    <w:uiPriority w:val="9"/>
    <w:semiHidden/>
    <w:unhideWhenUsed/>
    <w:qFormat/>
    <w:rsid w:val="00D15B34"/>
    <w:pPr>
      <w:keepNext/>
      <w:keepLines/>
      <w:wordWrap w:val="0"/>
      <w:autoSpaceDE w:val="0"/>
      <w:autoSpaceDN w:val="0"/>
      <w:spacing w:before="160" w:after="80" w:line="240" w:lineRule="auto"/>
      <w:outlineLvl w:val="2"/>
    </w:pPr>
    <w:rPr>
      <w:rFonts w:asciiTheme="majorHAnsi" w:eastAsiaTheme="majorEastAsia" w:hAnsiTheme="majorHAnsi" w:cstheme="majorBidi"/>
      <w:color w:val="000000" w:themeColor="text1"/>
      <w:kern w:val="2"/>
      <w:lang w:val="en-US"/>
      <w14:ligatures w14:val="standardContextual"/>
    </w:rPr>
  </w:style>
  <w:style w:type="paragraph" w:styleId="4">
    <w:name w:val="heading 4"/>
    <w:basedOn w:val="a"/>
    <w:next w:val="a"/>
    <w:link w:val="4Char"/>
    <w:uiPriority w:val="9"/>
    <w:semiHidden/>
    <w:unhideWhenUsed/>
    <w:qFormat/>
    <w:rsid w:val="00D15B34"/>
    <w:pPr>
      <w:keepNext/>
      <w:keepLines/>
      <w:wordWrap w:val="0"/>
      <w:autoSpaceDE w:val="0"/>
      <w:autoSpaceDN w:val="0"/>
      <w:spacing w:before="80" w:after="40" w:line="240" w:lineRule="auto"/>
      <w:outlineLvl w:val="3"/>
    </w:pPr>
    <w:rPr>
      <w:rFonts w:asciiTheme="majorHAnsi" w:eastAsiaTheme="majorEastAsia" w:hAnsiTheme="majorHAnsi" w:cstheme="majorBidi"/>
      <w:color w:val="000000" w:themeColor="text1"/>
      <w:kern w:val="2"/>
      <w:sz w:val="22"/>
      <w:lang w:val="en-US"/>
      <w14:ligatures w14:val="standardContextual"/>
    </w:rPr>
  </w:style>
  <w:style w:type="paragraph" w:styleId="5">
    <w:name w:val="heading 5"/>
    <w:basedOn w:val="a"/>
    <w:next w:val="a"/>
    <w:link w:val="5Char"/>
    <w:uiPriority w:val="9"/>
    <w:semiHidden/>
    <w:unhideWhenUsed/>
    <w:qFormat/>
    <w:rsid w:val="00D15B34"/>
    <w:pPr>
      <w:keepNext/>
      <w:keepLines/>
      <w:wordWrap w:val="0"/>
      <w:autoSpaceDE w:val="0"/>
      <w:autoSpaceDN w:val="0"/>
      <w:spacing w:before="80" w:after="40" w:line="240" w:lineRule="auto"/>
      <w:ind w:leftChars="100" w:left="100"/>
      <w:outlineLvl w:val="4"/>
    </w:pPr>
    <w:rPr>
      <w:rFonts w:asciiTheme="majorHAnsi" w:eastAsiaTheme="majorEastAsia" w:hAnsiTheme="majorHAnsi" w:cstheme="majorBidi"/>
      <w:color w:val="000000" w:themeColor="text1"/>
      <w:kern w:val="2"/>
      <w:sz w:val="22"/>
      <w:lang w:val="en-US"/>
      <w14:ligatures w14:val="standardContextual"/>
    </w:rPr>
  </w:style>
  <w:style w:type="paragraph" w:styleId="6">
    <w:name w:val="heading 6"/>
    <w:basedOn w:val="a"/>
    <w:next w:val="a"/>
    <w:link w:val="6Char"/>
    <w:uiPriority w:val="9"/>
    <w:semiHidden/>
    <w:unhideWhenUsed/>
    <w:qFormat/>
    <w:rsid w:val="00D15B34"/>
    <w:pPr>
      <w:keepNext/>
      <w:keepLines/>
      <w:wordWrap w:val="0"/>
      <w:autoSpaceDE w:val="0"/>
      <w:autoSpaceDN w:val="0"/>
      <w:spacing w:before="80" w:after="40" w:line="240" w:lineRule="auto"/>
      <w:ind w:leftChars="200" w:left="200"/>
      <w:outlineLvl w:val="5"/>
    </w:pPr>
    <w:rPr>
      <w:rFonts w:asciiTheme="majorHAnsi" w:eastAsiaTheme="majorEastAsia" w:hAnsiTheme="majorHAnsi" w:cstheme="majorBidi"/>
      <w:color w:val="000000" w:themeColor="text1"/>
      <w:kern w:val="2"/>
      <w:sz w:val="22"/>
      <w:lang w:val="en-US"/>
      <w14:ligatures w14:val="standardContextual"/>
    </w:rPr>
  </w:style>
  <w:style w:type="paragraph" w:styleId="7">
    <w:name w:val="heading 7"/>
    <w:basedOn w:val="a"/>
    <w:next w:val="a"/>
    <w:link w:val="7Char"/>
    <w:uiPriority w:val="9"/>
    <w:semiHidden/>
    <w:unhideWhenUsed/>
    <w:qFormat/>
    <w:rsid w:val="00D15B34"/>
    <w:pPr>
      <w:keepNext/>
      <w:keepLines/>
      <w:wordWrap w:val="0"/>
      <w:autoSpaceDE w:val="0"/>
      <w:autoSpaceDN w:val="0"/>
      <w:spacing w:before="80" w:after="40" w:line="240" w:lineRule="auto"/>
      <w:ind w:leftChars="300" w:left="300"/>
      <w:outlineLvl w:val="6"/>
    </w:pPr>
    <w:rPr>
      <w:rFonts w:asciiTheme="majorHAnsi" w:eastAsiaTheme="majorEastAsia" w:hAnsiTheme="majorHAnsi" w:cstheme="majorBidi"/>
      <w:color w:val="000000" w:themeColor="text1"/>
      <w:kern w:val="2"/>
      <w:sz w:val="22"/>
      <w:lang w:val="en-US"/>
      <w14:ligatures w14:val="standardContextual"/>
    </w:rPr>
  </w:style>
  <w:style w:type="paragraph" w:styleId="8">
    <w:name w:val="heading 8"/>
    <w:basedOn w:val="a"/>
    <w:next w:val="a"/>
    <w:link w:val="8Char"/>
    <w:uiPriority w:val="9"/>
    <w:semiHidden/>
    <w:unhideWhenUsed/>
    <w:qFormat/>
    <w:rsid w:val="00D15B34"/>
    <w:pPr>
      <w:keepNext/>
      <w:keepLines/>
      <w:wordWrap w:val="0"/>
      <w:autoSpaceDE w:val="0"/>
      <w:autoSpaceDN w:val="0"/>
      <w:spacing w:before="80" w:after="40" w:line="240" w:lineRule="auto"/>
      <w:ind w:leftChars="400" w:left="400"/>
      <w:outlineLvl w:val="7"/>
    </w:pPr>
    <w:rPr>
      <w:rFonts w:asciiTheme="majorHAnsi" w:eastAsiaTheme="majorEastAsia" w:hAnsiTheme="majorHAnsi" w:cstheme="majorBidi"/>
      <w:color w:val="000000" w:themeColor="text1"/>
      <w:kern w:val="2"/>
      <w:sz w:val="22"/>
      <w:lang w:val="en-US"/>
      <w14:ligatures w14:val="standardContextual"/>
    </w:rPr>
  </w:style>
  <w:style w:type="paragraph" w:styleId="9">
    <w:name w:val="heading 9"/>
    <w:basedOn w:val="a"/>
    <w:next w:val="a"/>
    <w:link w:val="9Char"/>
    <w:uiPriority w:val="9"/>
    <w:semiHidden/>
    <w:unhideWhenUsed/>
    <w:qFormat/>
    <w:rsid w:val="00D15B34"/>
    <w:pPr>
      <w:keepNext/>
      <w:keepLines/>
      <w:wordWrap w:val="0"/>
      <w:autoSpaceDE w:val="0"/>
      <w:autoSpaceDN w:val="0"/>
      <w:spacing w:before="80" w:after="40" w:line="240" w:lineRule="auto"/>
      <w:ind w:leftChars="500" w:left="500"/>
      <w:outlineLvl w:val="8"/>
    </w:pPr>
    <w:rPr>
      <w:rFonts w:asciiTheme="majorHAnsi" w:eastAsiaTheme="majorEastAsia" w:hAnsiTheme="majorHAnsi" w:cstheme="majorBidi"/>
      <w:color w:val="000000" w:themeColor="text1"/>
      <w:kern w:val="2"/>
      <w:sz w:val="22"/>
      <w:lang w:val="en-US"/>
      <w14:ligatures w14:val="standardContextual"/>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D15B34"/>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sid w:val="00D15B34"/>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sid w:val="00D15B34"/>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semiHidden/>
    <w:rsid w:val="00D15B34"/>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D15B34"/>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D15B34"/>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D15B34"/>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D15B34"/>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D15B34"/>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D15B34"/>
    <w:pPr>
      <w:wordWrap w:val="0"/>
      <w:autoSpaceDE w:val="0"/>
      <w:autoSpaceDN w:val="0"/>
      <w:spacing w:after="80" w:line="240" w:lineRule="auto"/>
      <w:contextualSpacing/>
      <w:jc w:val="center"/>
    </w:pPr>
    <w:rPr>
      <w:rFonts w:asciiTheme="majorHAnsi" w:eastAsiaTheme="majorEastAsia" w:hAnsiTheme="majorHAnsi" w:cstheme="majorBidi"/>
      <w:spacing w:val="-10"/>
      <w:kern w:val="28"/>
      <w:sz w:val="56"/>
      <w:szCs w:val="56"/>
      <w:lang w:val="en-US"/>
      <w14:ligatures w14:val="standardContextual"/>
    </w:rPr>
  </w:style>
  <w:style w:type="character" w:customStyle="1" w:styleId="Char">
    <w:name w:val="제목 Char"/>
    <w:basedOn w:val="a0"/>
    <w:link w:val="a3"/>
    <w:uiPriority w:val="10"/>
    <w:rsid w:val="00D15B34"/>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D15B34"/>
    <w:pPr>
      <w:numPr>
        <w:ilvl w:val="1"/>
      </w:numPr>
      <w:wordWrap w:val="0"/>
      <w:autoSpaceDE w:val="0"/>
      <w:autoSpaceDN w:val="0"/>
      <w:spacing w:line="240" w:lineRule="auto"/>
      <w:jc w:val="center"/>
    </w:pPr>
    <w:rPr>
      <w:rFonts w:asciiTheme="majorHAnsi" w:eastAsiaTheme="majorEastAsia" w:hAnsiTheme="majorHAnsi" w:cstheme="majorBidi"/>
      <w:color w:val="595959" w:themeColor="text1" w:themeTint="A6"/>
      <w:spacing w:val="15"/>
      <w:kern w:val="2"/>
      <w:sz w:val="28"/>
      <w:szCs w:val="28"/>
      <w:lang w:val="en-US"/>
      <w14:ligatures w14:val="standardContextual"/>
    </w:rPr>
  </w:style>
  <w:style w:type="character" w:customStyle="1" w:styleId="Char0">
    <w:name w:val="부제 Char"/>
    <w:basedOn w:val="a0"/>
    <w:link w:val="a4"/>
    <w:uiPriority w:val="11"/>
    <w:rsid w:val="00D15B34"/>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D15B34"/>
    <w:pPr>
      <w:wordWrap w:val="0"/>
      <w:autoSpaceDE w:val="0"/>
      <w:autoSpaceDN w:val="0"/>
      <w:spacing w:before="160" w:line="240" w:lineRule="auto"/>
      <w:jc w:val="center"/>
    </w:pPr>
    <w:rPr>
      <w:rFonts w:asciiTheme="minorEastAsia" w:hAnsiTheme="minorHAnsi" w:cstheme="minorBidi"/>
      <w:i/>
      <w:iCs/>
      <w:color w:val="404040" w:themeColor="text1" w:themeTint="BF"/>
      <w:kern w:val="2"/>
      <w:sz w:val="22"/>
      <w:lang w:val="en-US"/>
      <w14:ligatures w14:val="standardContextual"/>
    </w:rPr>
  </w:style>
  <w:style w:type="character" w:customStyle="1" w:styleId="Char1">
    <w:name w:val="인용 Char"/>
    <w:basedOn w:val="a0"/>
    <w:link w:val="a5"/>
    <w:uiPriority w:val="29"/>
    <w:rsid w:val="00D15B34"/>
    <w:rPr>
      <w:i/>
      <w:iCs/>
      <w:color w:val="404040" w:themeColor="text1" w:themeTint="BF"/>
    </w:rPr>
  </w:style>
  <w:style w:type="paragraph" w:styleId="a6">
    <w:name w:val="List Paragraph"/>
    <w:basedOn w:val="a"/>
    <w:uiPriority w:val="34"/>
    <w:qFormat/>
    <w:rsid w:val="00D15B34"/>
    <w:pPr>
      <w:wordWrap w:val="0"/>
      <w:autoSpaceDE w:val="0"/>
      <w:autoSpaceDN w:val="0"/>
      <w:spacing w:line="240" w:lineRule="auto"/>
      <w:ind w:left="720"/>
      <w:contextualSpacing/>
    </w:pPr>
    <w:rPr>
      <w:rFonts w:asciiTheme="minorEastAsia" w:hAnsiTheme="minorHAnsi" w:cstheme="minorBidi"/>
      <w:kern w:val="2"/>
      <w:sz w:val="22"/>
      <w:lang w:val="en-US"/>
      <w14:ligatures w14:val="standardContextual"/>
    </w:rPr>
  </w:style>
  <w:style w:type="character" w:styleId="a7">
    <w:name w:val="Intense Emphasis"/>
    <w:basedOn w:val="a0"/>
    <w:uiPriority w:val="21"/>
    <w:qFormat/>
    <w:rsid w:val="00D15B34"/>
    <w:rPr>
      <w:i/>
      <w:iCs/>
      <w:color w:val="0F4761" w:themeColor="accent1" w:themeShade="BF"/>
    </w:rPr>
  </w:style>
  <w:style w:type="paragraph" w:styleId="a8">
    <w:name w:val="Intense Quote"/>
    <w:basedOn w:val="a"/>
    <w:next w:val="a"/>
    <w:link w:val="Char2"/>
    <w:uiPriority w:val="30"/>
    <w:qFormat/>
    <w:rsid w:val="00D15B34"/>
    <w:pPr>
      <w:pBdr>
        <w:top w:val="single" w:sz="4" w:space="10" w:color="0F4761" w:themeColor="accent1" w:themeShade="BF"/>
        <w:bottom w:val="single" w:sz="4" w:space="10" w:color="0F4761" w:themeColor="accent1" w:themeShade="BF"/>
      </w:pBdr>
      <w:wordWrap w:val="0"/>
      <w:autoSpaceDE w:val="0"/>
      <w:autoSpaceDN w:val="0"/>
      <w:spacing w:before="360" w:after="360" w:line="240" w:lineRule="auto"/>
      <w:ind w:left="864" w:right="864"/>
      <w:jc w:val="center"/>
    </w:pPr>
    <w:rPr>
      <w:rFonts w:asciiTheme="minorEastAsia" w:hAnsiTheme="minorHAnsi" w:cstheme="minorBidi"/>
      <w:i/>
      <w:iCs/>
      <w:color w:val="0F4761" w:themeColor="accent1" w:themeShade="BF"/>
      <w:kern w:val="2"/>
      <w:sz w:val="22"/>
      <w:lang w:val="en-US"/>
      <w14:ligatures w14:val="standardContextual"/>
    </w:rPr>
  </w:style>
  <w:style w:type="character" w:customStyle="1" w:styleId="Char2">
    <w:name w:val="강한 인용 Char"/>
    <w:basedOn w:val="a0"/>
    <w:link w:val="a8"/>
    <w:uiPriority w:val="30"/>
    <w:rsid w:val="00D15B34"/>
    <w:rPr>
      <w:i/>
      <w:iCs/>
      <w:color w:val="0F4761" w:themeColor="accent1" w:themeShade="BF"/>
    </w:rPr>
  </w:style>
  <w:style w:type="character" w:styleId="a9">
    <w:name w:val="Intense Reference"/>
    <w:basedOn w:val="a0"/>
    <w:uiPriority w:val="32"/>
    <w:qFormat/>
    <w:rsid w:val="00D15B3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1</Pages>
  <Words>211</Words>
  <Characters>1205</Characters>
  <Application>Microsoft Office Word</Application>
  <DocSecurity>0</DocSecurity>
  <Lines>10</Lines>
  <Paragraphs>2</Paragraphs>
  <ScaleCrop>false</ScaleCrop>
  <Company/>
  <LinksUpToDate>false</LinksUpToDate>
  <CharactersWithSpaces>1414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YEOKYUNG LEE</dc:creator>
  <cp:keywords/>
  <dc:description/>
  <cp:lastModifiedBy>YEOKYUNG LEE</cp:lastModifiedBy>
  <cp:revision>1</cp:revision>
  <dcterms:created xsi:type="dcterms:W3CDTF">2026-10-20T05:28:00Z</dcterms:created>
  <dcterms:modified xsi:type="dcterms:W3CDTF">2026-10-20T05:29:00Z</dcterms:modified>
</cp:coreProperties>
</file>