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The binder-free NCM811–LPSCl composite compacts to 68.0 μm at 9.8 % porosity, and the SBE and DBE both reach 72.48 μm, at porosities of 7.87 % and 7.39 %, respectively.</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 </w:t>
            </w:r>
            <w:r>
              <w:rPr>
                <w:rFonts w:ascii="Times New Roman" w:cs="Times New Roman" w:eastAsia="Times New Roman" w:hAnsi="Times New Roman"/>
                <w:sz w:val="21"/>
                <w:szCs w:val="21"/>
                <w:vertAlign w:val="superscript"/>
              </w:rPr>
              <w:t xml:space="preserve">a</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 </w:t>
            </w:r>
            <w:r>
              <w:rPr>
                <w:rFonts w:ascii="Times New Roman" w:cs="Times New Roman" w:eastAsia="Times New Roman" w:hAnsi="Times New Roman"/>
                <w:sz w:val="21"/>
                <w:szCs w:val="21"/>
                <w:vertAlign w:val="superscript"/>
              </w:rPr>
              <w:t xml:space="preserve">d</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Effective network value calibrated against the measured electrode response, not the intrinsic conductivity of NCM811.</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The voxel representation fuses touching fibres and therefore carries no explicit fibre–fibre contact resistance, so the contact-inclusive compressed-powder value is used rather than the intrinsic single-fibre value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At a 0.15 μm voxel the fibre is one voxel wide, and the conductivity is rescaled by the circle-in-square area ratio (π/4) so that the axial conductance is preserved.</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Left blank pending re-compaction at the AFM moduli reported in Figure 2g and Figures S6–S7; the microstructures analysed here were built before those values were adopted.</w:t>
      </w:r>
    </w:p>
    <w:p>
      <w:pPr>
        <w:spacing w:after="60"/>
        <w:ind w:left="200"/>
        <w:jc w:val="both"/>
      </w:pPr>
      <w:r>
        <w:rPr>
          <w:rFonts w:ascii="Times New Roman" w:cs="Times New Roman" w:eastAsia="Times New Roman" w:hAnsi="Times New Roman"/>
          <w:sz w:val="21"/>
          <w:szCs w:val="21"/>
          <w:vertAlign w:val="superscript"/>
        </w:rPr>
        <w:t xml:space="preserve">d</w:t>
      </w:r>
      <w:r>
        <w:rPr>
          <w:rFonts w:ascii="Times New Roman" w:cs="Times New Roman" w:eastAsia="Times New Roman" w:hAnsi="Times New Roman"/>
          <w:sz w:val="21"/>
          <w:szCs w:val="21"/>
        </w:rPr>
        <w:t xml:space="preserve"> Provisional. Figure 2h is consistent with SDCP acting as an inert filler on the ionic network, and this value has not yet been calibrated against that measurement.</w:t>
      </w: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7.39</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 </w:t>
            </w:r>
            <w:r>
              <w:rPr>
                <w:rFonts w:ascii="Times New Roman" w:cs="Times New Roman" w:eastAsia="Times New Roman" w:hAnsi="Times New Roman"/>
                <w:sz w:val="21"/>
                <w:szCs w:val="21"/>
                <w:vertAlign w:val="superscript"/>
              </w:rPr>
              <w:t xml:space="preserve">c</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 </w:t>
            </w:r>
            <w:r>
              <w:rPr>
                <w:rFonts w:ascii="Times New Roman" w:cs="Times New Roman" w:eastAsia="Times New Roman" w:hAnsi="Times New Roman"/>
                <w:sz w:val="21"/>
                <w:szCs w:val="21"/>
                <w:vertAlign w:val="superscript"/>
              </w:rPr>
              <w:t xml:space="preserve">a</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 </w:t>
            </w:r>
            <w:r>
              <w:rPr>
                <w:rFonts w:ascii="Times New Roman" w:cs="Times New Roman" w:eastAsia="Times New Roman" w:hAnsi="Times New Roman"/>
                <w:sz w:val="21"/>
                <w:szCs w:val="21"/>
                <w:vertAlign w:val="superscript"/>
              </w:rPr>
              <w:t xml:space="preserve">c</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Mean over eight grid-origin arms; the uncertainty is the paired standard error. All eight solves converged.</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Not reported. These descriptors were extracted at the earlier 0.4 μm rasterization and are being re-extracted at the production voxel size.</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Not reported. PTFE is not resolved on the conduction grid, so the ionic network contains no PTFE blocking, and the ionic conductivity of SDCP has not been calibrated against Figure 2h; the model therefore does not yet represent the quantity being compared.</w:t>
      </w: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 기계 물성은 비워 두었다 (각주 c).</w:t>
      </w:r>
      <w:r>
        <w:rPr>
          <w:rFonts w:ascii="Times New Roman" w:cs="Times New Roman" w:eastAsia="Times New Roman" w:hAnsi="Times New Roman"/>
          <w:sz w:val="21"/>
          <w:szCs w:val="21"/>
        </w:rPr>
        <w:t xml:space="preserve"> 지금 미세구조는 PTFE 0.30 GPa · SDCP 23.6 GPa 로 압밀한 것인데, Figure 2g 와 Figure S6–S7 이 보고하는 값은 1.8 GPa 와 9.0 GPa 다.  방법론 표에 옛 값을 적으면 그림과 어긋나고, AFM 값을 적으면 실제로 돌린 것과 달라진다.  ⇒ </w:t>
      </w:r>
      <w:r>
        <w:rPr>
          <w:rFonts w:ascii="Times New Roman" w:cs="Times New Roman" w:eastAsia="Times New Roman" w:hAnsi="Times New Roman"/>
          <w:b/>
          <w:bCs/>
          <w:sz w:val="21"/>
          <w:szCs w:val="21"/>
        </w:rPr>
        <w:t xml:space="preserve">AFM 값으로 다시 압밀한 뒤 채운다.</w:t>
      </w:r>
      <w:r>
        <w:rPr>
          <w:rFonts w:ascii="Times New Roman" w:cs="Times New Roman" w:eastAsia="Times New Roman" w:hAnsi="Times New Roman"/>
          <w:sz w:val="21"/>
          <w:szCs w:val="21"/>
        </w:rPr>
        <w:t xml:space="preserve">  ⚠ 그때 Table S3 의 두께 · porosity · 면적용량과 σ_e 도 같이 움직인다 — 침대 기하가 바뀌기 때문이다.  전도도 비의 이동이 8팔 산포(±0.7 %) 안이면 무시 가능으로 닫히고, 벗어나면 그 값들도 새 침대 것으로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스윕과 Joule 식을 Methods 에서 뺐다.</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그 문단이 빠지면서 Joule 소산을 쓰는 곳이 논문에 하나도 남지 않으므로(Figure 4b 는 전도도만 보여준다) 두 번째 식과 기호 정의도 함께 삭제하고 남은 식을 (1) 로 번호를 매겼다.  채택한 SDCP 전도도는 이제 Table S2 에만 있다.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2026-08-23T05:49:41.839Z</dcterms:created>
  <dcterms:modified xsi:type="dcterms:W3CDTF">2026-08-23T05:49:41.839Z</dcterms:modified>
</cp:coreProperties>
</file>

<file path=docProps/custom.xml><?xml version="1.0" encoding="utf-8"?>
<Properties xmlns="http://schemas.openxmlformats.org/officeDocument/2006/custom-properties" xmlns:vt="http://schemas.openxmlformats.org/officeDocument/2006/docPropsVTypes"/>
</file>