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Comments on Section 3 (Intrinsic Stability of Sulfide SEs)</w:t>
      </w:r>
    </w:p>
    <w:p>
      <w:r>
        <w:t>Comment 1</w:t>
      </w:r>
    </w:p>
    <w:p>
      <w:r>
        <w:t>Section 3.2 states, on HSAB grounds, that P⁵⁺ "belongs to relatively soft Lewis acids" attacked by polar solvents. This conflicts with Section 3.1, whose hydrolysis argument requires P⁵⁺ to be a hard acid — only then does it prefer the hard base O²⁻ over S²⁻, driving Li₃PS₄ + 3H₂O → Li₃PO₄ + 3H₂S. If P⁵⁺ were genuinely soft it would retain S²⁻ and the Section 3.1 driving force would vanish, so this is not a wording slip but two mechanisms that are mutually inconsistent within HSAB (Pearson groups P⁵⁺ with Si⁴⁺ and Al³⁺ as hard). Furthermore, the donor atoms of NMP (amide N, carbonyl O) are hard bases: under the manuscript's own "soft P⁵⁺", HSAB predicts a mismatched and therefore weaker attack, so the cited theory does not support the stated conclusion. The mechanism is more consistently described as hard–hard (charge-controlled) substitution at an electron-deficient P center. Whichever classification is adopted, the other section should be reconciled; if both mechanisms coexist, the governing conditions (aqueous versus non-aqueous, charge- versus orbital-controlled) should be stated.</w:t>
      </w:r>
    </w:p>
    <w:p>
      <w:r>
        <w:t>Comment 2</w:t>
      </w:r>
    </w:p>
    <w:p>
      <w:r>
        <w:t>Two chemical descriptions in Section 3.1 would benefit from precision. First, the hydrolysis susceptibility of the soft base S²⁻ is attributed to a "lowered kinetic barrier", but HSAB describes a thermodynamic preference, which is distinct from reaction rate; the actual kinetics depend on surface area, crystallinity (amorphous faster than crystalline), and composition. The same conflation recurs in the summary sentence ("thermodynamic and kinetic susceptibility"), so the two axes are best separated throughout the section, with the HSAB argument framed as thermodynamic. Second, the P–S bond is called "highly polar covalent", yet elsewhere — including the InF₃ passage in Section 3.2 — the manuscript correctly identifies polarizability as the operative property. These are different quantities: with Δχ(P–S) ≈ 0.4 versus Δχ(P–O) ≈ 1.25, P–S is less polar and more covalent than the oxide bond while being more polarizable, and the argument requires the latter. Distinguishing the two terms consistently would remove an internal inconsistency.</w:t>
      </w:r>
    </w:p>
    <w:p>
      <w:r>
        <w:t>Comment 3</w:t>
      </w:r>
    </w:p>
    <w:p>
      <w:r>
        <w:t>Section 3.3 attributes high thermal stability to a "continuous covalent–ionic hybrid bond network", grouping LGPS, LPSCl, and Li₇P₃S₁₁ together. Their anion frameworks differ in connectivity: LGPS has (Ge/P)S₄ chains, Li₇P₃S₁₁ contains P₂S₇⁴⁻ dimers together with PS₄³⁻, and LPSCl is fully isolated PS₄³⁻ plus free S²⁻ and Cl⁻ — the same "structural units" the manuscript itself invokes in Sections 3.1 and 3.2. Describing LPSCl as a continuous network therefore contradicts Section 3.1. Separating the three materials by anion connectivity (isolated, dimer, chain) and linking thermal stability to connectivity would resolve the conflict.</w:t>
      </w:r>
    </w:p>
    <w:p>
      <w:r>
        <w:t>Comment 4</w:t>
      </w:r>
    </w:p>
    <w:p>
      <w:r>
        <w:t>Section 3.3 reports that crystalline sulfides retain their structure to 400–500 °C under inert atmosphere, then concludes that their thermal resistance is "significantly superior to carbonate liquid electrolytes". The condition and the conclusion are mismatched. Inert-atmosphere decomposition temperature has little bearing on cell-level safety, where the hazard is the exothermic reaction with charged cathode active material (lattice-oxygen release) and with lithium metal, whose onset lies well below 400–500 °C. The hazard of carbonate electrolytes, in turn, is governed by flash point, vapour pressure, and thermal runaway rather than decomposition temperature (dimethyl carbonate flash point ≈ 18 °C), so comparing decomposition temperatures compares mismatched axes. The inert-atmosphere qualifier should be carried into the conclusion, and the comparison should rest on DSC exothermic onset and heat release (J g⁻¹) under cathode- or lithium-coexisting conditions. Defining a thermal safety margin as (hazard onset − maximum operating temperature) would make this quantitative and remove the possible misreading.</w:t>
      </w:r>
    </w:p>
    <w:p>
      <w:r>
        <w:t>Comment 5</w:t>
      </w:r>
    </w:p>
    <w:p>
      <w:r>
        <w:t>The InF₃ passage in Section 3.2 states that the additive "enhances lattice bond energy and reduces polarizability" to preserve conductivity after solvent immersion. Neither phrase appears in the cited work; in that study a lower polarization rate is given as the reason F⁻ substitution lowers ionic conductivity, so the sign is reversed here. The cited work also contains single-dopant controls indicating that In and F act with opposite signs on the conductivity and moisture axes, whereas the solvent-immersion axis actually cited has only pristine-versus-co-doped points. Restating the effect against the paper's own basis (reduced adsorption energy of H₂O and organic solvent), and indicating which element governs which axis, would remove both the reversed causation and the merged attribution. More broadly, "bond energy" (and "lattice bond energy") recurs as a central explanatory variable across Sections 3.1–3.3 but is never defined or tied to a measurement — it could denote cohesive energy, bond-dissociation energy, an integrated crystal-orbital overlap population, or a qualitative claim from a cited work. Defining it once, and stating for each cited value whether it was measured or computed under that definition, would make these arguments verifiable across sections.</w:t>
      </w:r>
    </w:p>
    <w:p>
      <w:r>
        <w:t>Comment 6</w:t>
      </w:r>
    </w:p>
    <w:p>
      <w:r>
        <w:t>Section 3.4 contrasts the "true thermodynamic stability range" from first principles with the "apparent" cyclic-voltammetry window. The computed window is itself model-dependent: it shifts with the hull convention adopted for metastable electrolytes (for example, placing an ordered arrangement at E_hull → 0 despite a finite energy), with the configuration chosen, and with the phase set included. Labelling it "true" leads readers to conclude the experiment is in error. "Computed (under a given phase set and hull convention)" would be more accurate, and the two windows measure different quantities — the calculation gives the onset of thermodynamic driving force, the voltammogram the point of measurable current — with the difference attributable to kinetic overpotential and to passivation by decomposition products; the original source of this method already provides that explanation, so adding it carries no citation burden. Relatedly, the claim that the cathode operating voltage "far exceeds" the sulfide threshold would benefit from both numbers (layered oxide ≈ 3.0–4.3 V; sulfide anodic limit ≈ 2.0–2.3 V, the latter a chemical-potential-referenced computed quantity that must be aligned before being placed beside a cell voltage). It also sits in tension with the same section's kinetic-stabilization argument: if passivation operates, exceeding the thermodynamic threshold is not by itself severe degradation, as coated cells cycling at 4.3 V indicate. One sentence on which regime dominates when would resolve this.</w:t>
      </w:r>
    </w:p>
    <w:p>
      <w:r>
        <w:t>Comment 7</w:t>
      </w:r>
    </w:p>
    <w:p>
      <w:r>
        <w:t>The three-way interface classification (thermodynamically stable, mixed ionic–electronic conductive, SEI-like passivated) is useful but could be strengthened in three respects. First, it uses only ionic and electronic transport and omits the mechanical axis, yet Sections 3.5 and 5.1.3 show that volume change and cracking break the interface — an electronically insulating layer still fails once cracking exposes fresh surface. Second, it provides no observable to distinguish a thermodynamically stable interface from a passivated one (the two appear identical if impedance does not grow), nor a threshold for what counts as "low electronic conductivity". Third, it is static, whereas Section 5.1.2's own "band-gap narrowing leading to electron penetration" implies a passivated-to-mixed-conductor transition over time. Adding a distinguishing observable per type, an electronic-conductivity or band-gap threshold, a "mechanically retained" condition, and a note that the classification describes an initial state that can evolve, would connect Section 3.4 with Sections 3.5 and 5.1.</w:t>
      </w:r>
    </w:p>
    <w:p>
      <w:r>
        <w:t>Comment 8</w:t>
      </w:r>
    </w:p>
    <w:p>
      <w:r>
        <w:t>Section 3.4 states that an oxide buffer coating "establishes a chemical potential gradient … reducing the driving force for interfacial reactions." The thermodynamic driving force is set by the chemical potentials of the two end phases and is not reduced by inserting a layer between them. What a coating actually does is to block direct contact, to be self-stable against each side, and to block electron transport; if "gradient" is meant as a stepwise division, then each step can still react — which is precisely the practical difficulty of coating selection. "Blocking direct contact together with self-stability against both sides" would be more accurate. Relatedly, the ideal-coating criteria in Section 4.2.2 (high-voltage stability, ionic conductivity, minimal electronic conductivity, mechanical compliance) consider only the cathode side, but a coating sits between cathode and electrolyte and forms two interfaces. Adding reactivity against the solid electrolyte as a fifth criterion would substantially strengthen the materials-selection discussion, since in practice reaction with the electrolyte is a harsher screen than reaction with the cathode.</w:t>
      </w:r>
    </w:p>
    <w:p>
      <w:r>
        <w:t>Comment 9</w:t>
      </w:r>
    </w:p>
    <w:p>
      <w:r>
        <w:t>Three adjacent statements would connect Sections 3.4, 3.5, and 5.1 if adjusted together. (i) Section 3.4 explains dendrite nucleation and growth through an electronic-pathway mechanism (conductive decomposition products), whereas Section 5.1.1 gives a mechanical "wedge-opening" mechanism (lithium injected at the rear of a crack), explicitly stated to differ from the classical tip-stress model; their relationship — whether they divide nucleation from propagation, or are independent — is not stated. Section 3.4 also names only the products' electronic conductivity, whereas Section 5.1.2 additionally invokes the intrinsic conductivity of the electrolyte. (ii) Section 3.5 states that fracture creates "low-impedance pathways" through which lithium penetrates; an empty crack is a pore, so its ionic impedance is effectively infinite, and it becomes low-impedance only after lithium fills it — the result is written as a property of the cause, and the order is opposite to Section 5.1.1's. "A mechanically favourable path and a fresh free surface form, which become an electron-conduction path once plated lithium fills them" would align the two. (iii) Section 3.5 lists the lithium-contact products as "Li₂S, Li₃P, and related composite phases"; for the halide-bearing argyrodite central to this review the standard grand-potential result is Li₃P + Li₂S + LiCl, and the omitted LiCl is the one phase of the three with a wide band gap — directly relevant to the low-electronic-conductivity passivation layer targeted in Section 3.4.</w:t>
      </w:r>
    </w:p>
    <w:p>
      <w:r>
        <w:t>Comment 10</w:t>
      </w:r>
    </w:p>
    <w:p>
      <w:r>
        <w:t>Three quantitative statements in Section 3.5 would benefit from a stated basis. (i) Li₂S and Li₃P are said to have molar volumes "significantly different from the base phase", but per-formula-unit volumes of Li₂S (3 atoms) and Li₆PS₅Cl (13 atoms) are not directly comparable — a compositional difference is being read as a volume change, and the sign inverts with the normalization basis. The meaningful quantity is the volume change of a balanced reaction per mole of electrolyte consumed, stating whether the lithium consumed at the anode is included; the sign of "localized volume expansion" is likewise undetermined until the system boundary is drawn. (ii) Elastic strain energy is said to "exceed the fracture toughness threshold", but strain energy has units of energy while K_IC has units of Pa·m^½. The fracture criterion is G ≥ G_c or K ≥ K_IC, and the reference quantity is the energy release rate per new crack area, not total stored energy; replacing "fracture toughness" with "critical energy release rate G_c" corrects this. The underlying size effect is sound (stored energy scales with d³, crack energy with d²). (iii) The quoted K_IC of 0.2–0.4 MPa·m^½ is treated as a material constant, whereas fracture toughness — unlike elastic moduli — depends strongly on density, grain size, impurities, pre-existing flaws, and porosity, and is determined per specimen. Giving the specimen conditions would also supply what the ~3 μm threshold lacks (composition, stack pressure, depth of discharge): treating K_IC as constant makes the critical size look constant too. Relatedly, the section uses two critical sizes — fracture significant above ~3 μm, safety secured below 1 μm — which read as inconsistent unless presented as one trend with their respective conditions.</w:t>
      </w:r>
    </w:p>
    <w:p>
      <w:r>
        <w:t>Comment 11</w:t>
      </w:r>
    </w:p>
    <w:p>
      <w:r>
        <w:t>A single bond characteristic — the covalent, polarizable P–S bond — is cited with opposite signs across the review: as the weakness in Section 3.1 (low bond energy, high polarizability, water attack) and as a strength in Section 3.3 (high decomposition temperature) and Section 3.5 (low modulus, plastic deformation, good contact). Several remedies likewise improve one axis at another's expense: oxygen incorporation raises air and thermal stability but lowers ionic conductivity; particle-size reduction aids mechanics but worsens air and solvent stability; polymer compositing raises toughness but dilutes conductivity. Each section's outlook already flags its own trade-off with a "while maintaining …" clause, so the information is present but dispersed.</w:t>
      </w:r>
    </w:p>
    <w:p>
      <w:r>
        <w:t>Consolidating it into a single cross-axis trade-off table (stability axis against remedy, with the sign on each other axis) would convert scattered caveats into the review's most useful synthesis, at no additional data cost. In the same spirit, the closing outlooks of Sections 3.1 and 3.3 list desiderata without distinguishing what is already partly addressed from what remains open; appending the current state and the remaining gap to each would turn them from wish-lists into a roadmap. One instance ties both together: Section 3.4 requires the interphase to combine high ionic with low electronic conductivity, while Section 3.5 identifies the same product set (notably Li₃P) as the driver of volume mismatch and stress — the requirement that a passivation layer be simultaneously electronically insulating and volumetrically compatible is stated nowhere.</w:t>
      </w:r>
    </w:p>
    <w:p>
      <w:r>
        <w:t>Comment 12</w:t>
      </w:r>
    </w:p>
    <w:p>
      <w:r>
        <w:t>The manuscript already contains every element of the chemo-mechanical feedback loop but never closes it: interface reaction leads to volume mismatch (Section 3.5), then tensile stress (Section 3.5), then cracking and fracture (Section 3.5), which in turn cause passivation breakdown through exposure of fresh surface (Section 3.4), lithium penetration and short circuit (Sections 3.5 and 5.1.1), and disruption of the conduction network (Section 3.5). The only missing arrow is "fresh surface → reaction restart." Drawing this as a single schematic would close the loop and answer directly why degradation accumulates each cycle, as implied by the phrase "during cycling" in Section 3.5. Because it requires only a reorganization of existing content rather than new data, its value relative to cost is high.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