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The binder-free NCM811–LPSCl composite compacts to 68.0 μm at 9.8 % porosity, and the SBE and DBE both reach 72.48 μm, at porosities of 7.87 % and 7.39 %, respectively.</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and the electronic and ionic networks were solved on the same grid.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assigned to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is the electric potential. A potential difference was imposed between the separator and current-collector faces of the domain, the remaining boundaries were treated as insulating, and the effective conductivity was obtained from the resulting total current. NCM811, VGCF and SDCP formed the electronic network and LPSCl and SDCP the ionic network, with PTFE insulating in both; the phase conductivities are listed in Table S2. VGCF was assigned a diameter-preserving conductivity so that the axial conductance of a fibre resolved as a one-voxel-wide tube matches that of the 0.15 μm fibre. Because a rasterized conductivity depends on the position of the microstructure relative to the grid, each electrode was solved eight times over a full factorial of half-voxel origin shifts along the three axes; the SBE and DBE were solved on the same set of origins, and conductivity ratios are reported as the paired mean with its standard error. The Joule dissipation of a phase was evaluated as</w:t>
      </w:r>
    </w:p>
    <w:p>
      <w:pPr>
        <w:tabs>
          <w:tab w:val="right" w:pos="9026"/>
        </w:tabs>
        <w:spacing w:after="120" w:before="120"/>
        <w:ind w:left="2200"/>
        <w:jc w:val="left"/>
      </w:pP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 Σ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(2)</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and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are the conductance of and the potential difference across the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-th voxel-to-voxel connection and the summation runs over all connections belonging to the phase. Since the electronic conductivity of SDCP has not been measured directly, a representative value of 250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was adopted.</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 </w:t>
            </w:r>
            <w:r>
              <w:rPr>
                <w:rFonts w:ascii="Times New Roman" w:cs="Times New Roman" w:eastAsia="Times New Roman" w:hAnsi="Times New Roman"/>
                <w:sz w:val="21"/>
                <w:szCs w:val="21"/>
                <w:vertAlign w:val="superscript"/>
              </w:rPr>
              <w:t xml:space="preserve">a</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 </w:t>
            </w:r>
            <w:r>
              <w:rPr>
                <w:rFonts w:ascii="Times New Roman" w:cs="Times New Roman" w:eastAsia="Times New Roman" w:hAnsi="Times New Roman"/>
                <w:sz w:val="21"/>
                <w:szCs w:val="21"/>
                <w:vertAlign w:val="superscript"/>
              </w:rPr>
              <w:t xml:space="preserve">c</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 </w:t>
            </w:r>
            <w:r>
              <w:rPr>
                <w:rFonts w:ascii="Times New Roman" w:cs="Times New Roman" w:eastAsia="Times New Roman" w:hAnsi="Times New Roman"/>
                <w:sz w:val="21"/>
                <w:szCs w:val="21"/>
                <w:vertAlign w:val="superscript"/>
              </w:rPr>
              <w:t xml:space="preserve">c</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w:t>
            </w:r>
            <w:r>
              <w:rPr>
                <w:rFonts w:ascii="Times New Roman" w:cs="Times New Roman" w:eastAsia="Times New Roman" w:hAnsi="Times New Roman"/>
                <w:sz w:val="21"/>
                <w:szCs w:val="21"/>
                <w:vertAlign w:val="superscript"/>
              </w:rPr>
              <w:t xml:space="preserv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23.6</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 </w:t>
            </w:r>
            <w:r>
              <w:rPr>
                <w:rFonts w:ascii="Times New Roman" w:cs="Times New Roman" w:eastAsia="Times New Roman" w:hAnsi="Times New Roman"/>
                <w:sz w:val="21"/>
                <w:szCs w:val="21"/>
                <w:vertAlign w:val="superscript"/>
              </w:rPr>
              <w:t xml:space="preserv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w:t>
            </w:r>
            <w:r>
              <w:rPr>
                <w:rFonts w:ascii="Times New Roman" w:cs="Times New Roman" w:eastAsia="Times New Roman" w:hAnsi="Times New Roman"/>
                <w:sz w:val="21"/>
                <w:szCs w:val="21"/>
                <w:vertAlign w:val="superscript"/>
              </w:rPr>
              <w:t xml:space="preserve">e</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Effective conductivity of the active-material network, calibrated against the measured electrode response; not the intrinsic conductivity of NCM811.</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Effective mechanical inputs calibrated to reproduce the measured porosity of cold-pressed LPSCl at 300 MPa; not dense-material properties.</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The voxel representation fuses touching fibres and therefore carries no explicit fibre–fibre contact resistance, so the contact-inclusive compressed-powder value (0.012 Ω cm ≈ 83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is used rather than the intrinsic single-fibre value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Ω cm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At a 0.15 μm voxel a 0.15 μm fibre is resolved as a one-voxel-wide tube, and the assigned conductivity is rescaled to 78.5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so that the axial conductance is preserved.</w:t>
      </w:r>
    </w:p>
    <w:p>
      <w:pPr>
        <w:spacing w:after="60"/>
        <w:ind w:left="200"/>
        <w:jc w:val="both"/>
      </w:pPr>
      <w:r>
        <w:rPr>
          <w:rFonts w:ascii="Times New Roman" w:cs="Times New Roman" w:eastAsia="Times New Roman" w:hAnsi="Times New Roman"/>
          <w:sz w:val="21"/>
          <w:szCs w:val="21"/>
          <w:vertAlign w:val="superscript"/>
        </w:rPr>
        <w:t xml:space="preserve">d</w:t>
      </w:r>
      <w:r>
        <w:rPr>
          <w:rFonts w:ascii="Times New Roman" w:cs="Times New Roman" w:eastAsia="Times New Roman" w:hAnsi="Times New Roman"/>
          <w:sz w:val="21"/>
          <w:szCs w:val="21"/>
        </w:rPr>
        <w:t xml:space="preserve"> Values used in the compaction simulations, corresponding to an earlier analysis of the AFM modulus maps.</w:t>
      </w:r>
    </w:p>
    <w:p>
      <w:pPr>
        <w:spacing w:after="60"/>
        <w:ind w:left="200"/>
        <w:jc w:val="both"/>
      </w:pPr>
      <w:r>
        <w:rPr>
          <w:rFonts w:ascii="Times New Roman" w:cs="Times New Roman" w:eastAsia="Times New Roman" w:hAnsi="Times New Roman"/>
          <w:sz w:val="21"/>
          <w:szCs w:val="21"/>
          <w:vertAlign w:val="superscript"/>
        </w:rPr>
        <w:t xml:space="preserve">e</w:t>
      </w:r>
      <w:r>
        <w:rPr>
          <w:rFonts w:ascii="Times New Roman" w:cs="Times New Roman" w:eastAsia="Times New Roman" w:hAnsi="Times New Roman"/>
          <w:sz w:val="21"/>
          <w:szCs w:val="21"/>
        </w:rPr>
        <w:t xml:space="preserve"> SDCP is not an ionic insulator: the LPSCl–SDCP pellet retains 80 % of the ionic conductivity of pristine LPSCl, whereas the LPSCl–PTFE pellet retains 27 % (Figure 2h). A representative value was assigned pending direct measurement.</w:t>
      </w: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7.87</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7.39</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86.7</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86.7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13.0</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15.4</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433</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517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100</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100</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7.27 × 10</w:t>
            </w:r>
            <w:r>
              <w:rPr>
                <w:rFonts w:ascii="Times New Roman" w:cs="Times New Roman" w:eastAsia="Times New Roman" w:hAnsi="Times New Roman"/>
                <w:sz w:val="21"/>
                <w:szCs w:val="21"/>
                <w:vertAlign w:val="superscript"/>
              </w:rPr>
              <w:t xml:space="preserve">−2</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8.16 × 10</w:t>
            </w:r>
            <w:r>
              <w:rPr>
                <w:rFonts w:ascii="Times New Roman" w:cs="Times New Roman" w:eastAsia="Times New Roman" w:hAnsi="Times New Roman"/>
                <w:sz w:val="21"/>
                <w:szCs w:val="21"/>
                <w:vertAlign w:val="superscript"/>
              </w:rPr>
              <w:t xml:space="preserve">−2</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5.69 × 10</w:t>
            </w:r>
            <w:r>
              <w:rPr>
                <w:rFonts w:ascii="Times New Roman" w:cs="Times New Roman" w:eastAsia="Times New Roman" w:hAnsi="Times New Roman"/>
                <w:sz w:val="21"/>
                <w:szCs w:val="21"/>
                <w:vertAlign w:val="superscript"/>
              </w:rPr>
              <w:t xml:space="preserve">−4</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5.64 × 10</w:t>
            </w:r>
            <w:r>
              <w:rPr>
                <w:rFonts w:ascii="Times New Roman" w:cs="Times New Roman" w:eastAsia="Times New Roman" w:hAnsi="Times New Roman"/>
                <w:sz w:val="21"/>
                <w:szCs w:val="21"/>
                <w:vertAlign w:val="superscript"/>
              </w:rPr>
              <w:t xml:space="preserve">−4</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 </w:t>
            </w:r>
            <w:r>
              <w:rPr>
                <w:rFonts w:ascii="Times New Roman" w:cs="Times New Roman" w:eastAsia="Times New Roman" w:hAnsi="Times New Roman"/>
                <w:sz w:val="21"/>
                <w:szCs w:val="21"/>
                <w:vertAlign w:val="superscript"/>
              </w:rPr>
              <w:t xml:space="preserve">a</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 </w:t>
            </w:r>
            <w:r>
              <w:rPr>
                <w:rFonts w:ascii="Times New Roman" w:cs="Times New Roman" w:eastAsia="Times New Roman" w:hAnsi="Times New Roman"/>
                <w:sz w:val="21"/>
                <w:szCs w:val="21"/>
                <w:vertAlign w:val="superscript"/>
              </w:rPr>
              <w:t xml:space="preserve">a</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0.99272 ± 0.00003</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Mean over eight grid-origin arms; the uncertainty is the paired standard error. All eight solves converged.</w:t>
      </w: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Notes to co-authors  (delete before submission)</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Removed — "a resolution validated against measured ionic conductivities."</w:t>
      </w:r>
      <w:r>
        <w:rPr>
          <w:rFonts w:ascii="Times New Roman" w:cs="Times New Roman" w:eastAsia="Times New Roman" w:hAnsi="Times New Roman"/>
          <w:sz w:val="21"/>
          <w:szCs w:val="21"/>
        </w:rPr>
        <w:t xml:space="preserve"> The 0.4 μm grid used in v5.1 is not converged: re-solving the same electrodes at finer voxels changes the electronic conductivity ratio and reverses the sign of the ionic one. The agreement with a measured ionic conductivity held at one grid only and cannot be described as a validation. The sentence is deleted and the production grid (0.15 μm) is simply stated.</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All transport numbers replaced.</w:t>
      </w:r>
      <w:r>
        <w:rPr>
          <w:rFonts w:ascii="Times New Roman" w:cs="Times New Roman" w:eastAsia="Times New Roman" w:hAnsi="Times New Roman"/>
          <w:sz w:val="21"/>
          <w:szCs w:val="21"/>
        </w:rPr>
        <w:t xml:space="preserve"> The v5.1 values (electronic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ionic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come from the 0.4 μm grid with SDCP drawn as one voxel per particle, which over-represents its volume roughly four-fold. The values above are from the production convention (0.15 μm voxel, SDCP drawn as a true-diameter sphere, eight grid-origin arms). The electronic gain is +12.3 % and the ionic change is −0.7 %; both figures may be refined and should be treated as provisional.</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 mechanical inputs vs. the AFM figures (needs a decision).</w:t>
      </w:r>
      <w:r>
        <w:rPr>
          <w:rFonts w:ascii="Times New Roman" w:cs="Times New Roman" w:eastAsia="Times New Roman" w:hAnsi="Times New Roman"/>
          <w:sz w:val="21"/>
          <w:szCs w:val="21"/>
        </w:rPr>
        <w:t xml:space="preserve"> The microstructures were compacted with PTFE 0.30 GPa and SDCP 23.6 GPa, but Figure 2g and Figures S6–S7 now report 1.8 GPa and 9.0 GPa. A methods table must list what was actually run, so the older values appear above with footnote d. The clean fix is to re-compact one electrode pair at 1.8 / 9.0 GPa and confirm the conductivity ratio moves by less than the ±0.7 % spread of the eight arms; the table can then quote the AFM values throughout.</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structural descriptors carried over.</w:t>
      </w:r>
      <w:r>
        <w:rPr>
          <w:rFonts w:ascii="Times New Roman" w:cs="Times New Roman" w:eastAsia="Times New Roman" w:hAnsi="Times New Roman"/>
          <w:sz w:val="21"/>
          <w:szCs w:val="21"/>
        </w:rPr>
        <w:t xml:space="preserve"> Thickness, porosity, areal capacity, coverages, contact counts and connectivity are unchanged from v5.1 and were extracted from the earlier 0.4 μm rasterization. The coverage and contact-count rows in particular depend on voxel size and should be re-extracted at 0.15 μm before submission. Porosity should also be reported on a single convention (sphere-volume basis) across the paper.</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Terminology unified to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w:t>
      </w:r>
      <w:r>
        <w:rPr>
          <w:rFonts w:ascii="Times New Roman" w:cs="Times New Roman" w:eastAsia="Times New Roman" w:hAnsi="Times New Roman"/>
          <w:sz w:val="21"/>
          <w:szCs w:val="21"/>
        </w:rPr>
        <w:t xml:space="preserve">* v5.1 mixes "elastic modulus" (AFM, Table S2, Figure S6–S7 captions) with "Young’s modulus" (DEM text). The AFM section and the Figure S6/S7 captions should be changed to match, or the DEM section changed back — but one term only.</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Bulk modulus comparison corrected.</w:t>
      </w:r>
      <w:r>
        <w:rPr>
          <w:rFonts w:ascii="Times New Roman" w:cs="Times New Roman" w:eastAsia="Times New Roman" w:hAnsi="Times New Roman"/>
          <w:sz w:val="21"/>
          <w:szCs w:val="21"/>
        </w:rPr>
        <w:t xml:space="preserve"> v5.1 placed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next to the "dense-material 24 GPa", but 24 GPa is a Young’s modulus, not a bulk modulus. The revised text states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without that comparison. If an anchor is wanted, use the calculated bulk modulus of LPSCl (26.2 GPa, this work) rather than 24 GPa.</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Shear-softening factor removed.</w:t>
      </w:r>
      <w:r>
        <w:rPr>
          <w:rFonts w:ascii="Times New Roman" w:cs="Times New Roman" w:eastAsia="Times New Roman" w:hAnsi="Times New Roman"/>
          <w:sz w:val="21"/>
          <w:szCs w:val="21"/>
        </w:rPr>
        <w:t xml:space="preserve"> v5.1 said the shear modulus "falls 18-fold"; the factor is 15.8 when referred to the calculated shear modulus of dense LPSCl. The revised text quotes the value (0.51 GPa) instead of a fold-change. The 18-fold figure remains correct for the DEM contact Young’s modulus (24 → 1.35 GPa).</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Cross-model agreement claim removed.</w:t>
      </w:r>
      <w:r>
        <w:rPr>
          <w:rFonts w:ascii="Times New Roman" w:cs="Times New Roman" w:eastAsia="Times New Roman" w:hAnsi="Times New Roman"/>
          <w:sz w:val="21"/>
          <w:szCs w:val="21"/>
        </w:rPr>
        <w:t xml:space="preserve"> v5.1 stated that the two models "agree on composite porosity and thickness to within one percentage point". That gap is a bookkeeping difference between the two porosity conventions, not independent agreement, so it is not evidence of validity. The statement that the models were calibrated independently is kept.</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sensitivity sweep moved out of Methods.</w:t>
      </w:r>
      <w:r>
        <w:rPr>
          <w:rFonts w:ascii="Times New Roman" w:cs="Times New Roman" w:eastAsia="Times New Roman" w:hAnsi="Times New Roman"/>
          <w:sz w:val="21"/>
          <w:szCs w:val="21"/>
        </w:rPr>
        <w:t xml:space="preserve"> The paragraph reporting the five-point sweep and the dissipation-share anti-correlation is a result, not a method, and its numbers are from the superseded grid. Methods now states only the value adopted. If the sweep is wanted in the SI it must be re-run at the production convention.</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Mechanism sentence needs rewriting wherever it appears in the Results.</w:t>
      </w:r>
      <w:r>
        <w:rPr>
          <w:rFonts w:ascii="Times New Roman" w:cs="Times New Roman" w:eastAsia="Times New Roman" w:hAnsi="Times New Roman"/>
          <w:sz w:val="21"/>
          <w:szCs w:val="21"/>
        </w:rPr>
        <w:t xml:space="preserve"> The v5.1 reading — SDCP acting as a high-conductivity bridge that relieves series bottlenecks — is not supported by the current simulations: SDCP carries about 1 % of the electronic current, and suppressing its conductivity advantage removes only 6 % of the gain. Suggested replacement: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References.</w:t>
      </w:r>
      <w:r>
        <w:rPr>
          <w:rFonts w:ascii="Times New Roman" w:cs="Times New Roman" w:eastAsia="Times New Roman" w:hAnsi="Times New Roman"/>
          <w:sz w:val="21"/>
          <w:szCs w:val="21"/>
        </w:rPr>
        <w:t xml:space="preserve"> Methods now carries five citations only: LIGGGHTS, MPM, the dense LPSCl modulus, the NCM modulus and the electrolyte grain conductivity. Every quantitative input that is not calibrated or measured in this work has a source in Table S2.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2026-08-23T05:03:59.411Z</dcterms:created>
  <dcterms:modified xsi:type="dcterms:W3CDTF">2026-08-23T05:03:59.411Z</dcterms:modified>
</cp:coreProperties>
</file>

<file path=docProps/custom.xml><?xml version="1.0" encoding="utf-8"?>
<Properties xmlns="http://schemas.openxmlformats.org/officeDocument/2006/custom-properties" xmlns:vt="http://schemas.openxmlformats.org/officeDocument/2006/docPropsVTypes"/>
</file>