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Manuscript — Experimental section</w:t>
      </w:r>
    </w:p>
    <w:p>
      <w:pPr>
        <w:spacing w:after="20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Insert after the “Discrete element method” paragraph, replacing the placeholder “Computational details: DFT”.</w:t>
      </w:r>
    </w:p>
    <w:p>
      <w:pPr>
        <w:spacing w:after="200" w:before="0" w:line="36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Computational details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: Spin-polarised density functional theory (DFT) calculations were performed with Quantum ESPRESSO [ref] using the Perdew–Burke–Ernzerhof functional with Grimme D3 dispersion and a Hubbard correction of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U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= 6.2 eV on the Ni 3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d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states. Wave functions and the charge density were expanded to 60 and 480 Ry, respectively, with Gaussian smearing of 0.05 eV and a self-consistency threshold of 1 × 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Ry. The NCM811 surface was represented by an antiferromagnetic LiNiO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(104) slab (1 × 4, four layers, 192 atoms, 18.27 × 11.51 Å in plane) sampled with a Γ-centred 2 × 3 × 1 mesh and a dipole correction along the surface normal; more than 15 Å of vacuum separated the adsorbate from its periodic image. SDCP was represented by its sulfonate-functionalised EDOT repeat unit (C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H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; the self-doped form 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H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was obtained by removing the sulfonate proton) and PTFE by a 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segment. Adsorption configurations were pre-screened over seven surface sites and 48 molecular orientations with a universal machine-learned interatomic potential [ref], and the lowest-energy configuration on each of the surface Li and Ni sites was rescored by DFT. Gas-phase references were relaxed at the Γ point in the same cell until residual forces fell below 1 × 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−3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Ry bohr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, and the box size was increased by 20 and 24 Å to confirm convergence. Adsorption energies were evaluated as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ads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=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(slab+molecule) 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(slab) 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(molecule), with all three terms obtained with identical settings and the same antiferromagnetic configuration. Because the adsorbed complexes were evaluated as single points on the machine-learned-potential geometries, the reported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ads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values do not include DFT relaxation of the adsorbed complex.</w:t>
      </w:r>
    </w:p>
    <w:p>
      <w:r>
        <w:br w:type="page"/>
      </w:r>
    </w:p>
    <w:p>
      <w:pPr>
        <w:spacing w:after="200" w:before="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Supporting Information</w:t>
      </w:r>
    </w:p>
    <w:p>
      <w:pPr>
        <w:spacing w:after="160" w:before="0" w:line="30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Table S1. Parameters used for the DFT calculations.</w:t>
      </w:r>
    </w:p>
    <w:tbl>
      <w:tblPr>
        <w:tblW w:type="dxa" w:w="9360"/>
        <w:tblBorders>
          <w:top w:val="single" w:color="808080" w:sz="6"/>
          <w:left w:val="none"/>
          <w:bottom w:val="single" w:color="808080" w:sz="6"/>
          <w:right w:val="none"/>
          <w:insideH w:val="single" w:color="BFBFBF" w:sz="2"/>
          <w:insideV w:val="none"/>
        </w:tblBorders>
      </w:tblPr>
      <w:tblGrid>
        <w:gridCol w:w="1600"/>
        <w:gridCol w:w="2860"/>
        <w:gridCol w:w="2900"/>
        <w:gridCol w:w="900"/>
        <w:gridCol w:w="1100"/>
      </w:tblGrid>
      <w:tr>
        <w:tc>
          <w:tcPr>
            <w:tcW w:type="dxa" w:w="16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286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9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9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11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Program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Quantum ESPRESSO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S1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Exchange–correlation functional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PBE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S2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Dispersion correction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Grimme D3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S3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Hubbard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(Ni 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S4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Basis set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Wavefunction cutoff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Charge-density cutoff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480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Brillouin zone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-point mesh (slab)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× 3 × 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Γ-centred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-point mesh (convergence check)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× 4 × 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Γ-centred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-point mesh (gas-phase molecule)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 × 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Γ only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Smearing width (Gaussian)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Convergence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Total energy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−6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Residual force (gas-phase relaxation)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Ry bohr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−1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Surface model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Slab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LiNiO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(104), 1 × 4, four layers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Number of atoms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192 (Li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48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48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96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In-plane dimensions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18.27 × 11.51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 height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30.26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Adsorbate–image separation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&gt; 15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Constrained atoms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144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z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≤ 17.40 Å)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Magnetic configuration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Antiferromagnetic (net 0)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S5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 magnetic moment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B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Calculated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Dipole correction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Along surface normal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Adsorbate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SDCP repeat unit (neutral)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SDCP repeat unit (self-doped)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PTFE segment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Gas-phase reference box padding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 and 24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Configuration search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Surface sites / orientations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 / 48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Interatomic potential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UMA-s-1p1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S6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Force convergence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 Å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−1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Adsorption energy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Definition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(slab+molecule) −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(slab) −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(molecule)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20" w:before="0" w:line="300"/>
      </w:pPr>
    </w:p>
    <w:p>
      <w:pPr>
        <w:spacing w:after="22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Adsorption energies are single-point energies evaluated on machine-learned-potential geometries and therefore do not include DFT relaxation of the adsorbed complex. The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6"/>
          <w:szCs w:val="16"/>
        </w:rPr>
        <w:t xml:space="preserve">k</w:t>
      </w: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-point mesh was verified directly for the C</w:t>
      </w: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  <w:vertAlign w:val="subscript"/>
        </w:rPr>
        <w:t xml:space="preserve">10</w:t>
      </w: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F</w:t>
      </w: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  <w:vertAlign w:val="subscript"/>
        </w:rPr>
        <w:t xml:space="preserve">22</w:t>
      </w: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 and self-doped SDCP systems; the remaining systems use the same mesh.</w:t>
      </w:r>
    </w:p>
    <w:p>
      <w:pPr>
        <w:spacing w:after="80" w:before="0" w:line="30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References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[S1] P. Giannozzi, S. Baroni, N. Bonini, M. Calandra, R. Car, C. Cavazzoni, D. Ceresoli, G. L. Chiarotti, M. Cococcioni, I. Dabo, A. Dal Corso, S. de Gironcoli, S. Fabris, G. Fratesi, R. Gebauer, U. Gerstmann, C. Gougoussis, A. Kokalj, M. Lazzeri, L. Martin-Samos, N. Marzari, F. Mauri, R. Mazzarello, S. Paolini, A. Pasquarello, L. Paulatto, C. Sbraccia, S. Scandolo, G. Sclauzero, A. P. Seitsonen, A. Smogunov, P. Umari, R. M. Wentzcovitch, QUANTUM ESPRESSO: a modular and open-source software project for quantum simulations of materials, J. Phys.: Condens. Matter 21 (2009) 395502.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[S2] J. P. Perdew, K. Burke, M. Ernzerhof, Generalized gradient approximation made simple, Phys. Rev. Lett. 77 (1996) 3865–3868.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[S3] S. Grimme, J. Antony, S. Ehrlich, H. Krieg, A consistent and accurate ab initio parametrization of density functional dispersion correction (DFT-D) for the 94 elements H-Pu, J. Chem. Phys. 132 (2010) 154104.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[S4] ── TO BE SUPPLIED: source for U(Ni 3d) = 6.2 eV in LiNiO2.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[S5] ── TO BE SUPPLIED: source for the antiferromagnetic ordering of LiNiO2.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[S6] B. M. Wood, M. Dzamba, X. Fu, M. Gao, M. Shuaibi, L. Barroso-Luque, K. Abdelmaqsoud, V. Gharakhanyan, J. R. Kitchin, D. S. Levine, K. Michel, A. Sriram, T. S. Cohen, A. Das, S. J. Sahoo, A. Rizvi, Z. W. Ulissi, C. L. Zitnick, UMA: A family of universal models for atoms, Adv. Neural Inf. Process. Syst. 38 (2025) 143528–143564.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2026-08-23T05:39:13.165Z</dcterms:created>
  <dcterms:modified xsi:type="dcterms:W3CDTF">2026-08-23T05:39:13.166Z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