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80" w:before="0" w:line="280"/>
      </w:pPr>
      <w:r>
        <w:rPr>
          <w:rFonts w:ascii="Times New Roman" w:cs="Times New Roman" w:eastAsia="Times New Roman" w:hAnsi="Times New Roman"/>
          <w:b/>
          <w:bCs/>
          <w:sz w:val="19"/>
          <w:szCs w:val="19"/>
        </w:rPr>
        <w:t xml:space="preserve">Table S2. Computational parameters for the DFT calculations of Li-adatom migration on the Li₃N(001) and LiC₆(0001) surfaces.</w:t>
      </w:r>
    </w:p>
    <w:tbl>
      <w:tblPr>
        <w:tblW w:type="dxa" w:w="9360"/>
        <w:tblBorders>
          <w:top w:val="single" w:color="808080" w:sz="6"/>
          <w:left w:val="none"/>
          <w:bottom w:val="single" w:color="808080" w:sz="6"/>
          <w:right w:val="none"/>
          <w:insideH w:val="single" w:color="BFBFBF" w:sz="2"/>
          <w:insideV w:val="none"/>
        </w:tblBorders>
      </w:tblPr>
      <w:tblGrid>
        <w:gridCol w:w="2280"/>
        <w:gridCol w:w="3540"/>
        <w:gridCol w:w="3540"/>
      </w:tblGrid>
      <w:tr>
        <w:tc>
          <w:tcPr>
            <w:tcW w:type="dxa" w:w="2280"/>
            <w:gridSpan w:val="1"/>
            <w:shd w:fill="D9E2F3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Parameter</w:t>
            </w:r>
          </w:p>
        </w:tc>
        <w:tc>
          <w:tcPr>
            <w:tcW w:type="dxa" w:w="3540"/>
            <w:gridSpan w:val="1"/>
            <w:shd w:fill="D9E2F3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Li₃N(001)</w:t>
            </w:r>
          </w:p>
        </w:tc>
        <w:tc>
          <w:tcPr>
            <w:tcW w:type="dxa" w:w="3540"/>
            <w:gridSpan w:val="1"/>
            <w:shd w:fill="D9E2F3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LiC₆(0001)</w:t>
            </w:r>
          </w:p>
        </w:tc>
      </w:tr>
      <w:tr>
        <w:tc>
          <w:tcPr>
            <w:tcW w:type="dxa" w:w="2280"/>
            <w:gridSpan w:val="1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Code / functional</w:t>
            </w:r>
          </w:p>
        </w:tc>
        <w:tc>
          <w:tcPr>
            <w:tcW w:type="dxa" w:w="7080"/>
            <w:gridSpan w:val="2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Quantum ESPRESSO 7.4.1 (pw.x); PBE</w:t>
            </w:r>
          </w:p>
        </w:tc>
      </w:tr>
      <w:tr>
        <w:tc>
          <w:tcPr>
            <w:tcW w:type="dxa" w:w="2280"/>
            <w:gridSpan w:val="1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Pseudopotentials</w:t>
            </w:r>
          </w:p>
        </w:tc>
        <w:tc>
          <w:tcPr>
            <w:tcW w:type="dxa" w:w="3540"/>
            <w:gridSpan w:val="1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Li, N: ultrasoft</w:t>
            </w:r>
          </w:p>
        </w:tc>
        <w:tc>
          <w:tcPr>
            <w:tcW w:type="dxa" w:w="3540"/>
            <w:gridSpan w:val="1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Li: ultrasoft; C: PAW</w:t>
            </w:r>
          </w:p>
        </w:tc>
      </w:tr>
      <w:tr>
        <w:tc>
          <w:tcPr>
            <w:tcW w:type="dxa" w:w="2280"/>
            <w:gridSpan w:val="1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Cutoff (wavefunction / charge density)</w:t>
            </w:r>
          </w:p>
        </w:tc>
        <w:tc>
          <w:tcPr>
            <w:tcW w:type="dxa" w:w="7080"/>
            <w:gridSpan w:val="2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60 / 480 Ry</w:t>
            </w:r>
          </w:p>
        </w:tc>
      </w:tr>
      <w:tr>
        <w:tc>
          <w:tcPr>
            <w:tcW w:type="dxa" w:w="2280"/>
            <w:gridSpan w:val="1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k-point mesh</w:t>
            </w:r>
          </w:p>
        </w:tc>
        <w:tc>
          <w:tcPr>
            <w:tcW w:type="dxa" w:w="7080"/>
            <w:gridSpan w:val="2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2 × 2 × 1 (Γ-centred)</w:t>
            </w:r>
          </w:p>
        </w:tc>
      </w:tr>
      <w:tr>
        <w:tc>
          <w:tcPr>
            <w:tcW w:type="dxa" w:w="2280"/>
            <w:gridSpan w:val="1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Smearing</w:t>
            </w:r>
          </w:p>
        </w:tc>
        <w:tc>
          <w:tcPr>
            <w:tcW w:type="dxa" w:w="7080"/>
            <w:gridSpan w:val="2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Marzari–Vanderbilt, 0.01 Ry</w:t>
            </w:r>
          </w:p>
        </w:tc>
      </w:tr>
      <w:tr>
        <w:tc>
          <w:tcPr>
            <w:tcW w:type="dxa" w:w="2280"/>
            <w:gridSpan w:val="1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Convergence (SCF / force)</w:t>
            </w:r>
          </w:p>
        </w:tc>
        <w:tc>
          <w:tcPr>
            <w:tcW w:type="dxa" w:w="7080"/>
            <w:gridSpan w:val="2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 × 10⁻⁶ Ry / 1 × 10⁻³ Ry bohr⁻¹</w:t>
            </w:r>
          </w:p>
        </w:tc>
      </w:tr>
      <w:tr>
        <w:tc>
          <w:tcPr>
            <w:tcW w:type="dxa" w:w="2280"/>
            <w:gridSpan w:val="1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Slab model</w:t>
            </w:r>
          </w:p>
        </w:tc>
        <w:tc>
          <w:tcPr>
            <w:tcW w:type="dxa" w:w="3540"/>
            <w:gridSpan w:val="1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α-Li₃N, 3 × 3; four Li₂N and three Li planes, Li₂N (N-exposed) termination; 135 atoms + 1 Li adatom</w:t>
            </w:r>
          </w:p>
        </w:tc>
        <w:tc>
          <w:tcPr>
            <w:tcW w:type="dxa" w:w="3540"/>
            <w:gridSpan w:val="1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Stage-1 LiC₆, √3 × √3 R30°, 2 × 2 × 2; graphene-terminated; 108 atoms + 1 Li adatom</w:t>
            </w:r>
          </w:p>
        </w:tc>
      </w:tr>
      <w:tr>
        <w:tc>
          <w:tcPr>
            <w:tcW w:type="dxa" w:w="2280"/>
            <w:gridSpan w:val="1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Cell / vacuum</w:t>
            </w:r>
          </w:p>
        </w:tc>
        <w:tc>
          <w:tcPr>
            <w:tcW w:type="dxa" w:w="3540"/>
            <w:gridSpan w:val="1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a = b = 10.95 Å, c = 28.545 Å, γ = 120°; 15.7 Å vacuum</w:t>
            </w:r>
          </w:p>
        </w:tc>
        <w:tc>
          <w:tcPr>
            <w:tcW w:type="dxa" w:w="3540"/>
            <w:gridSpan w:val="1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15 Å vacuum</w:t>
            </w:r>
          </w:p>
        </w:tc>
      </w:tr>
      <w:tr>
        <w:tc>
          <w:tcPr>
            <w:tcW w:type="dxa" w:w="2280"/>
            <w:gridSpan w:val="1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Fixed atoms</w:t>
            </w:r>
          </w:p>
        </w:tc>
        <w:tc>
          <w:tcPr>
            <w:tcW w:type="dxa" w:w="3540"/>
            <w:gridSpan w:val="1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Bottom two Li₂N/Li bilayers</w:t>
            </w:r>
          </w:p>
        </w:tc>
        <w:tc>
          <w:tcPr>
            <w:tcW w:type="dxa" w:w="3540"/>
            <w:gridSpan w:val="1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Bottom 50 % of the slab</w:t>
            </w:r>
          </w:p>
        </w:tc>
      </w:tr>
      <w:tr>
        <w:tc>
          <w:tcPr>
            <w:tcW w:type="dxa" w:w="2280"/>
            <w:gridSpan w:val="1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Migration path</w:t>
            </w:r>
          </w:p>
        </w:tc>
        <w:tc>
          <w:tcPr>
            <w:tcW w:type="dxa" w:w="3540"/>
            <w:gridSpan w:val="1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Constrained relaxation: adatom lateral (x, y) coordinates fixed; its height and all unconstrained atoms relaxed independently</w:t>
            </w:r>
          </w:p>
        </w:tc>
        <w:tc>
          <w:tcPr>
            <w:tcW w:type="dxa" w:w="3540"/>
            <w:gridSpan w:val="1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CI-NEB with the UMA-oc20 machine-learned potential (7 images, IDPP initial path, 0.05 eV Å⁻¹), then DFT single-point energies on those geometries</w:t>
            </w:r>
          </w:p>
        </w:tc>
      </w:tr>
      <w:tr>
        <w:tc>
          <w:tcPr>
            <w:tcW w:type="dxa" w:w="2280"/>
            <w:gridSpan w:val="1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Barrier definition</w:t>
            </w:r>
          </w:p>
        </w:tc>
        <w:tc>
          <w:tcPr>
            <w:tcW w:type="dxa" w:w="3540"/>
            <w:gridSpan w:val="1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E(saddle-region configuration) − E(relaxed adsorption minimum)</w:t>
            </w:r>
          </w:p>
        </w:tc>
        <w:tc>
          <w:tcPr>
            <w:tcW w:type="dxa" w:w="3540"/>
            <w:gridSpan w:val="1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E(highest-energy image) − E(initial adsorption minimum)</w:t>
            </w:r>
          </w:p>
        </w:tc>
      </w:tr>
    </w:tbl>
    <w:p>
      <w:pPr>
        <w:spacing w:after="140" w:before="0" w:line="280"/>
      </w:pPr>
      <w:r>
        <w:rPr>
          <w:rFonts w:ascii="Times New Roman" w:cs="Times New Roman" w:eastAsia="Times New Roman" w:hAnsi="Times New Roman"/>
          <w:sz w:val="18"/>
          <w:szCs w:val="18"/>
        </w:rPr>
        <w:t xml:space="preserve"/>
      </w:r>
    </w:p>
    <w:p>
      <w:pPr>
        <w:spacing w:after="110" w:before="0" w:line="280"/>
      </w:pPr>
      <w:r>
        <w:rPr>
          <w:rFonts w:ascii="Times New Roman" w:cs="Times New Roman" w:eastAsia="Times New Roman" w:hAnsi="Times New Roman"/>
          <w:sz w:val="18"/>
          <w:szCs w:val="18"/>
        </w:rPr>
        <w:t xml:space="preserve">Both surfaces use identical electronic-structure settings, so the two barriers are directly comparable. On Li₃N(001) the pronounced adsorbate-induced relaxation of the soft ionic surface destabilised elastic-band calculations, so the barrier was evaluated from two independently converged constrained relaxations instead.</w:t>
      </w:r>
    </w:p>
    <w:p>
      <w:pPr>
        <w:spacing w:after="110" w:before="0" w:line="280"/>
      </w:pPr>
      <w:r>
        <w:rPr>
          <w:rFonts w:ascii="Times New Roman" w:cs="Times New Roman" w:eastAsia="Times New Roman" w:hAnsi="Times New Roman"/>
          <w:sz w:val="18"/>
          <w:szCs w:val="18"/>
        </w:rPr>
        <w:t xml:space="preserve">The LiC₆(0001) energies are DFT single points on machine-learned-potential geometries; because such potentials smooth the transition state, the LiC₆ barrier — and hence the barrier ratio quoted in the main text — is a conservative lower bound.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2026-08-12T17:07:56.957Z</dcterms:created>
  <dcterms:modified xsi:type="dcterms:W3CDTF">2026-08-12T17:07:56.967Z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