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The binder-free NCM811–LPSCl composite compacts to 68.0 μm at 9.8 % porosity, and the SBE and DBE both reach 72.48 μm, at porosities of 7.87 % and 7.39 %, respectively.</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fibre resolved as a one-voxel-wide tube retains its axial conductance. Each electrode was solved at eight half-voxel grid-origin shifts (2 × 2 × 2), the SBE and DBE sharing the same origins, and conductivity ratios are reported as the paired mean with its standard error.</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 </w:t>
            </w:r>
            <w:r>
              <w:rPr>
                <w:rFonts w:ascii="Times New Roman" w:cs="Times New Roman" w:eastAsia="Times New Roman" w:hAnsi="Times New Roman"/>
                <w:sz w:val="21"/>
                <w:szCs w:val="21"/>
                <w:vertAlign w:val="superscript"/>
              </w:rPr>
              <w:t xml:space="preserve">a</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 </w:t>
            </w:r>
            <w:r>
              <w:rPr>
                <w:rFonts w:ascii="Times New Roman" w:cs="Times New Roman" w:eastAsia="Times New Roman" w:hAnsi="Times New Roman"/>
                <w:sz w:val="21"/>
                <w:szCs w:val="21"/>
                <w:vertAlign w:val="superscript"/>
              </w:rPr>
              <w:t xml:space="preserve">c</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Effective network value calibrated against the measured electrode response, not the intrinsic conductivity of NCM811.</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The voxel representation fuses touching fibres and therefore carries no explicit fibre–fibre contact resistance, so the contact-inclusive compressed-powder value is used rather than the intrinsic single-fibre value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At a 0.15 μm voxel the fibre is one voxel wide, and the conductivity is rescaled by the circle-in-square area ratio (π/4) so that the axial conductance is preserved.</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Provisional. Figure 2h is consistent with SDCP acting as an inert filler on the ionic network, and this value has not yet been calibrated against that measurement.</w:t>
      </w: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7.39</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7.27 × 10</w:t>
            </w:r>
            <w:r>
              <w:rPr>
                <w:rFonts w:ascii="Times New Roman" w:cs="Times New Roman" w:eastAsia="Times New Roman" w:hAnsi="Times New Roman"/>
                <w:sz w:val="21"/>
                <w:szCs w:val="21"/>
                <w:vertAlign w:val="superscript"/>
              </w:rPr>
              <w:t xml:space="preserve">−2</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8.16 × 10</w:t>
            </w:r>
            <w:r>
              <w:rPr>
                <w:rFonts w:ascii="Times New Roman" w:cs="Times New Roman" w:eastAsia="Times New Roman" w:hAnsi="Times New Roman"/>
                <w:sz w:val="21"/>
                <w:szCs w:val="21"/>
                <w:vertAlign w:val="superscript"/>
              </w:rPr>
              <w:t xml:space="preserve">−2</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 </w:t>
            </w:r>
            <w:r>
              <w:rPr>
                <w:rFonts w:ascii="Times New Roman" w:cs="Times New Roman" w:eastAsia="Times New Roman" w:hAnsi="Times New Roman"/>
                <w:sz w:val="21"/>
                <w:szCs w:val="21"/>
                <w:vertAlign w:val="superscript"/>
              </w:rPr>
              <w:t xml:space="preserve">c</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 </w:t>
            </w:r>
            <w:r>
              <w:rPr>
                <w:rFonts w:ascii="Times New Roman" w:cs="Times New Roman" w:eastAsia="Times New Roman" w:hAnsi="Times New Roman"/>
                <w:sz w:val="21"/>
                <w:szCs w:val="21"/>
                <w:vertAlign w:val="superscript"/>
              </w:rPr>
              <w:t xml:space="preserve">a</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 </w:t>
            </w:r>
            <w:r>
              <w:rPr>
                <w:rFonts w:ascii="Times New Roman" w:cs="Times New Roman" w:eastAsia="Times New Roman" w:hAnsi="Times New Roman"/>
                <w:sz w:val="21"/>
                <w:szCs w:val="21"/>
                <w:vertAlign w:val="superscript"/>
              </w:rPr>
              <w:t xml:space="preserve">c</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Mean over eight grid-origin arms; the uncertainty is the paired standard error. All eight solves converged.</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Not reported. These descriptors were extracted at the earlier 0.4 μm rasterization and are being re-extracted at the production voxel size.</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Not reported. PTFE is not resolved on the conduction grid, so the ionic network contains no PTFE blocking, and the ionic conductivity of SDCP has not been calibrated against Figure 2h; the model therefore does not yet represent the quantity being compared.</w:t>
      </w: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 = AFM 값 (PTFE 1.8 · SDCP 9.0 GPa).  값은 확정이고, 아직 그 값으로 돌린 모델이 없을 뿐이다.</w:t>
      </w:r>
      <w:r>
        <w:rPr>
          <w:rFonts w:ascii="Times New Roman" w:cs="Times New Roman" w:eastAsia="Times New Roman" w:hAnsi="Times New Roman"/>
          <w:sz w:val="21"/>
          <w:szCs w:val="21"/>
        </w:rPr>
        <w:t xml:space="preserve"> 여기 실린 미세구조는 그 이전 세대(PTFE 0.30 · SDCP 23.6 GPa)로 압밀한 것이므로 투고 전 재압밀이 필요하다.  ⚠ 그때 </w:t>
      </w:r>
      <w:r>
        <w:rPr>
          <w:rFonts w:ascii="Times New Roman" w:cs="Times New Roman" w:eastAsia="Times New Roman" w:hAnsi="Times New Roman"/>
          <w:b/>
          <w:bCs/>
          <w:sz w:val="21"/>
          <w:szCs w:val="21"/>
        </w:rPr>
        <w:t xml:space="preserve">Table S3 에서 바뀌는 칸</w:t>
      </w:r>
      <w:r>
        <w:rPr>
          <w:rFonts w:ascii="Times New Roman" w:cs="Times New Roman" w:eastAsia="Times New Roman" w:hAnsi="Times New Roman"/>
          <w:sz w:val="21"/>
          <w:szCs w:val="21"/>
        </w:rPr>
        <w:t xml:space="preserve">: 두께 · porosity · 면적용량 · σ_e (절대값 2개와 비).  침대 기하가 바뀌기 때문이다.  나머지 행은 영향 없다.  전도도 비의 이동이 8팔 산포(±0.7 %) 안이면 무시 가능으로 닫히고, 벗어나면 새 침대 값으로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스윕과 Joule 식을 Methods 에서 뺐다.</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그 문단이 빠지면서 Joule 소산을 쓰는 곳이 논문에 하나도 남지 않으므로(Figure 4b 는 전도도만 보여준다) 두 번째 식과 기호 정의도 함께 삭제하고 남은 식을 (1) 로 번호를 매겼다.  채택한 SDCP 전도도는 이제 Table S2 에만 있다.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2026-08-23T05:52:44.013Z</dcterms:created>
  <dcterms:modified xsi:type="dcterms:W3CDTF">2026-08-23T05:52:44.014Z</dcterms:modified>
</cp:coreProperties>
</file>

<file path=docProps/custom.xml><?xml version="1.0" encoding="utf-8"?>
<Properties xmlns="http://schemas.openxmlformats.org/officeDocument/2006/custom-properties" xmlns:vt="http://schemas.openxmlformats.org/officeDocument/2006/docPropsVTypes"/>
</file>