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in the </w:t>
      </w:r>
      <w:r>
        <w:rPr>
          <w:i/>
          <w:iCs/>
        </w:rPr>
        <w:t xml:space="preserve">NVT</w:t>
      </w:r>
      <w:r>
        <w:t xml:space="preserve"> ensemble with a Langevin thermostat (time step 2 fs, friction 0.02 in ASE units) at 600, 800, and 1000 K, with 5 ps of equilibration followed by 200 ps of production. For each model and temperature, at least three independent runs with different random seeds were performed. The Li</w:t>
      </w:r>
      <w:r>
        <w:rPr>
          <w:vertAlign w:val="superscript"/>
        </w:rPr>
        <w:t xml:space="preserve">+</w:t>
      </w:r>
      <w:r>
        <w:t xml:space="preserve"> tracer diffusion coefficient (</w:t>
      </w:r>
      <w:r>
        <w:rPr>
          <w:i/>
          <w:iCs/>
        </w:rPr>
        <w:t xml:space="preserve">D</w:t>
      </w:r>
      <w:r>
        <w:t xml:space="preserve">) was obtained by fitting Eq. (1) to the mean square displacement (MSD) over 2 ≤ </w:t>
      </w:r>
      <w:r>
        <w:rPr>
          <w:i/>
          <w:iCs/>
        </w:rPr>
        <w:t xml:space="preserve">t</w:t>
      </w:r>
      <w:r>
        <w:t xml:space="preserve"> ≤ 50 ps, where </w:t>
      </w:r>
      <w:r>
        <w:rPr>
          <w:i/>
          <w:iCs/>
        </w:rPr>
        <w:t xml:space="preserve">N</w:t>
      </w:r>
      <w:r>
        <w:t xml:space="preserve"> is the number of Li</w:t>
      </w:r>
      <w:r>
        <w:rPr>
          <w:vertAlign w:val="superscript"/>
        </w:rPr>
        <w:t xml:space="preserve">+</w:t>
      </w:r>
      <w:r>
        <w:t xml:space="preserve"> ions, </w:t>
      </w:r>
      <w:r>
        <w:rPr>
          <w:b/>
          <w:bCs/>
          <w:i/>
          <w:iCs/>
        </w:rPr>
        <w:t xml:space="preserve">r</w:t>
      </w:r>
      <w:r>
        <w:rPr>
          <w:i/>
          <w:iCs/>
          <w:vertAlign w:val="subscript"/>
        </w:rPr>
        <w:t xml:space="preserve">i</w:t>
      </w:r>
      <w:r>
        <w:t xml:space="preserve">(</w:t>
      </w:r>
      <w:r>
        <w:rPr>
          <w:i/>
          <w:iCs/>
        </w:rPr>
        <w:t xml:space="preserve">t</w:t>
      </w:r>
      <w:r>
        <w:t xml:space="preserve">) is the unwrapped position of ion </w:t>
      </w:r>
      <w:r>
        <w:rPr>
          <w:i/>
          <w:iCs/>
        </w:rPr>
        <w:t xml:space="preserve">i</w:t>
      </w:r>
      <w:r>
        <w:t xml:space="preserve"> at time </w:t>
      </w:r>
      <w:r>
        <w:rPr>
          <w:i/>
          <w:iCs/>
        </w:rPr>
        <w:t xml:space="preserve">t</w:t>
      </w:r>
      <w:r>
        <w:t xml:space="preserve"> after the start of production, and </w:t>
      </w:r>
      <w:r>
        <w:rPr>
          <w:i/>
          <w:iCs/>
        </w:rPr>
        <w:t xml:space="preserve">c</w:t>
      </w:r>
      <w:r>
        <w:t xml:space="preserve"> is a free intercept. The activation energy (</w:t>
      </w:r>
      <w:r>
        <w:rPr>
          <w:i/>
          <w:iCs/>
        </w:rPr>
        <w:t xml:space="preserve">E</w:t>
      </w:r>
      <w:r>
        <w:rPr>
          <w:vertAlign w:val="subscript"/>
        </w:rPr>
        <w:t xml:space="preserve">a</w:t>
      </w:r>
      <w:r>
        <w:t xml:space="preserve">) was obtained by fitting Eq. (2) to the run-averaged </w:t>
      </w:r>
      <w:r>
        <w:rPr>
          <w:i/>
          <w:iCs/>
        </w:rPr>
        <w:t xml:space="preserve">D</w:t>
      </w:r>
      <w:r>
        <w:t xml:space="preserve"> at the three temperatures. The ionic conductivity (</w:t>
      </w:r>
      <w:r>
        <w:rPr>
          <w:i/>
          <w:iCs/>
        </w:rPr>
        <w:t xml:space="preserve">σ</w:t>
      </w:r>
      <w:r>
        <w:t xml:space="preserve">) was estimated from Eq. (3) with a Haven ratio of 1, using </w:t>
      </w:r>
      <w:r>
        <w:rPr>
          <w:i/>
          <w:iCs/>
        </w:rPr>
        <w:t xml:space="preserve">D</w:t>
      </w:r>
      <w:r>
        <w:t xml:space="preserve"> extrapolated to 273 K by Eq. (2), where </w:t>
      </w:r>
      <w:r>
        <w:rPr>
          <w:i/>
          <w:iCs/>
        </w:rPr>
        <w:t xml:space="preserve">D</w:t>
      </w:r>
      <w:r>
        <w:rPr>
          <w:vertAlign w:val="subscript"/>
        </w:rPr>
        <w:t xml:space="preserve">0</w:t>
      </w:r>
      <w:r>
        <w:t xml:space="preserve"> is the pre-exponential factor, </w:t>
      </w:r>
      <w:r>
        <w:rPr>
          <w:i/>
          <w:iCs/>
        </w:rPr>
        <w:t xml:space="preserve">k</w:t>
      </w:r>
      <w:r>
        <w:rPr>
          <w:vertAlign w:val="subscript"/>
        </w:rPr>
        <w:t xml:space="preserve">B</w:t>
      </w:r>
      <w:r>
        <w:t xml:space="preserve"> is the Boltzmann constant, </w:t>
      </w:r>
      <w:r>
        <w:rPr>
          <w:i/>
          <w:iCs/>
        </w:rPr>
        <w:t xml:space="preserve">T</w:t>
      </w:r>
      <w:r>
        <w:t xml:space="preserve"> is the temperature,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m:rPr>
            <m:sty m:val="p"/>
          </m:rPr>
          <w:rPr>
            <w:rFonts w:ascii="Cambria Math" w:hAnsi="Cambria Math"/>
          </w:rPr>
          <m:t xml:space="preserve">MSD</m:t>
        </m:r>
        <m:d>
          <m:e>
            <m:r>
              <w:rPr>
                <w:rFonts w:ascii="Cambria Math" w:hAnsi="Cambria Math"/>
              </w:rPr>
              <m:t xml:space="preserve">t</m:t>
            </m:r>
          </m:e>
        </m:d>
        <m:r>
          <m:rPr>
            <m:sty m:val="p"/>
          </m:rPr>
          <w:rPr>
            <w:rFonts w:ascii="Cambria Math" w:hAnsi="Cambria Math"/>
          </w:rPr>
          <m:t xml:space="preserve">=</m:t>
        </m:r>
        <m:f>
          <m:num>
            <m:r>
              <m:rPr>
                <m:sty m:val="p"/>
              </m:rPr>
              <w:rPr>
                <w:rFonts w:ascii="Cambria Math" w:hAnsi="Cambria Math"/>
              </w:rPr>
              <m:t xml:space="preserve">1</m:t>
            </m:r>
          </m:num>
          <m:den>
            <m:r>
              <w:rPr>
                <w:rFonts w:ascii="Cambria Math" w:hAnsi="Cambria Math"/>
              </w:rPr>
              <m:t xml:space="preserve">N</m:t>
            </m:r>
          </m:den>
        </m:f>
        <m:nary>
          <m:naryPr>
            <m:chr m:val="∑"/>
            <m:limLoc m:val="undOvr"/>
          </m:naryPr>
          <m:sub>
            <m: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sSup>
              <m:e>
                <m:d>
                  <m:dPr>
                    <m:begChr m:val="|"/>
                    <m:endChr m:val="|"/>
                  </m:dPr>
                  <m:e>
                    <m:sSub>
                      <m:e>
                        <m:r>
                          <m:rPr>
                            <m:sty m:val="bi"/>
                          </m:rPr>
                          <w:rPr>
                            <w:rFonts w:ascii="Cambria Math" w:hAnsi="Cambria Math"/>
                          </w:rPr>
                          <m:t xml:space="preserve">r</m:t>
                        </m:r>
                      </m:e>
                      <m:sub>
                        <m:r>
                          <w:rPr>
                            <w:rFonts w:ascii="Cambria Math" w:hAnsi="Cambria Math"/>
                          </w:rPr>
                          <m:t xml:space="preserve">i</m:t>
                        </m:r>
                      </m:sub>
                    </m:sSub>
                    <m:d>
                      <m:e>
                        <m:r>
                          <w:rPr>
                            <w:rFonts w:ascii="Cambria Math" w:hAnsi="Cambria Math"/>
                          </w:rPr>
                          <m:t xml:space="preserve">t</m:t>
                        </m:r>
                      </m:e>
                    </m:d>
                    <m:r>
                      <m:rPr>
                        <m:sty m:val="p"/>
                      </m:rPr>
                      <w:rPr>
                        <w:rFonts w:ascii="Cambria Math" w:hAnsi="Cambria Math"/>
                      </w:rPr>
                      <m:t xml:space="preserve">−</m:t>
                    </m:r>
                    <m:sSub>
                      <m:e>
                        <m:r>
                          <m:rPr>
                            <m:sty m:val="bi"/>
                          </m:rPr>
                          <w:rPr>
                            <w:rFonts w:ascii="Cambria Math" w:hAnsi="Cambria Math"/>
                          </w:rPr>
                          <m:t xml:space="preserve">r</m:t>
                        </m:r>
                      </m:e>
                      <m:sub>
                        <m:r>
                          <w:rPr>
                            <w:rFonts w:ascii="Cambria Math" w:hAnsi="Cambria Math"/>
                          </w:rPr>
                          <m:t xml:space="preserve">i</m:t>
                        </m:r>
                      </m:sub>
                    </m:sSub>
                    <m:d>
                      <m:e>
                        <m:r>
                          <m:rPr>
                            <m:sty m:val="p"/>
                          </m:rPr>
                          <w:rPr>
                            <w:rFonts w:ascii="Cambria Math" w:hAnsi="Cambria Math"/>
                          </w:rPr>
                          <m:t xml:space="preserve">0</m:t>
                        </m:r>
                      </m:e>
                    </m:d>
                  </m:e>
                </m:d>
              </m:e>
              <m:sup>
                <m:r>
                  <m:rPr>
                    <m:sty m:val="p"/>
                  </m:rPr>
                  <w:rPr>
                    <w:rFonts w:ascii="Cambria Math" w:hAnsi="Cambria Math"/>
                  </w:rPr>
                  <m:t xml:space="preserve">2</m:t>
                </m:r>
              </m:sup>
            </m:sSup>
          </m:e>
        </m:nary>
        <m:r>
          <m:rPr>
            <m:sty m:val="p"/>
          </m:rPr>
          <w:rPr>
            <w:rFonts w:ascii="Cambria Math" w:hAnsi="Cambria Math"/>
          </w:rPr>
          <m:t xml:space="preserve">≈</m:t>
        </m:r>
        <m:r>
          <m:rPr>
            <m:sty m:val="p"/>
          </m:rPr>
          <w:rPr>
            <w:rFonts w:ascii="Cambria Math" w:hAnsi="Cambria Math"/>
          </w:rPr>
          <m:t xml:space="preserve">6</m:t>
        </m:r>
        <m:r>
          <w:rPr>
            <w:rFonts w:ascii="Cambria Math" w:hAnsi="Cambria Math"/>
          </w:rPr>
          <m:t xml:space="preserve">D</m:t>
        </m:r>
        <m:r>
          <w:rPr>
            <w:rFonts w:ascii="Cambria Math" w:hAnsi="Cambria Math"/>
          </w:rPr>
          <m:t xml:space="preserve">t</m:t>
        </m:r>
        <m:r>
          <m:rPr>
            <m:sty m:val="p"/>
          </m:rPr>
          <w:rPr>
            <w:rFonts w:ascii="Cambria Math" w:hAnsi="Cambria Math"/>
          </w:rPr>
          <m:t xml:space="preserve">+</m:t>
        </m:r>
        <m:r>
          <w:rPr>
            <w:rFonts w:ascii="Cambria Math" w:hAnsi="Cambria Math"/>
          </w:rPr>
          <m:t xml:space="preserve">c</m:t>
        </m:r>
      </m:oMath>
      <w:r>
        <w:tab/>
        <w:t xml:space="preserve">(1)</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(2)</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(3)</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(4),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(4)</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