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Kinetic energy cutoffs of 60 and 480 Ry were used for the wavefunctions and charge density, respectively. The Brillouin zone was sampled with Γ-centered Monkhorst–Pack </w:t>
      </w:r>
      <w:r>
        <w:rPr>
          <w:i/>
          <w:iCs/>
        </w:rPr>
        <w:t xml:space="preserve">k</w:t>
      </w:r>
      <w:r>
        <w:t xml:space="preserve">-point grids [5], and the self-consistent field was converged to an estimated energy error below 10</w:t>
      </w:r>
      <w:r>
        <w:rPr>
          <w:vertAlign w:val="superscript"/>
        </w:rPr>
        <w:t xml:space="preserve">−8</w:t>
      </w:r>
      <w:r>
        <w:t xml:space="preserve"> Ry.</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(mp-1153, </w:t>
      </w:r>
      <w:r>
        <w:rPr>
          <w:i/>
          <w:iCs/>
        </w:rPr>
        <w:t xml:space="preserve">Fm</w:t>
      </w:r>
      <w:r>
        <w:t xml:space="preserve">3̅</w:t>
      </w:r>
      <w:r>
        <w:rPr>
          <w:i/>
          <w:iCs/>
        </w:rPr>
        <w:t xml:space="preserve">m</w:t>
      </w:r>
      <w:r>
        <w:t xml:space="preserve">) and a hypothetical ordered BiF</w:t>
      </w:r>
      <w:r>
        <w:rPr>
          <w:vertAlign w:val="subscript"/>
        </w:rPr>
        <w:t xml:space="preserve">3</w:t>
      </w:r>
      <w:r>
        <w:t xml:space="preserve">-type Li</w:t>
      </w:r>
      <w:r>
        <w:rPr>
          <w:vertAlign w:val="subscript"/>
        </w:rPr>
        <w:t xml:space="preserve">3</w:t>
      </w:r>
      <w:r>
        <w:t xml:space="preserve">Nd model (mp-976264, </w:t>
      </w:r>
      <w:r>
        <w:rPr>
          <w:i/>
          <w:iCs/>
        </w:rPr>
        <w:t xml:space="preserve">Fm</w:t>
      </w:r>
      <w:r>
        <w:t xml:space="preserve">3̅</w:t>
      </w:r>
      <w:r>
        <w:rPr>
          <w:i/>
          <w:iCs/>
        </w:rPr>
        <w:t xml:space="preserve">m</w:t>
      </w:r>
      <w:r>
        <w:t xml:space="preserve">; above the convex hull), both taken from the Materials Project database [7], were first relaxed with respect to atomic positions and lattice parameters. GBRV ultrasoft pseudopotentials were used for Li and S [8], and a projector augmented-wave (PAW) dataset from PSlibrary with the Nd 4</w:t>
      </w:r>
      <w:r>
        <w:rPr>
          <w:i/>
          <w:iCs/>
        </w:rPr>
        <w:t xml:space="preserve">f</w:t>
      </w:r>
      <w:r>
        <w:t xml:space="preserve"> electrons frozen in the core was used for Nd [9]. Because the Nd 4</w:t>
      </w:r>
      <w:r>
        <w:rPr>
          <w:i/>
          <w:iCs/>
        </w:rPr>
        <w:t xml:space="preserve">f</w:t>
      </w:r>
      <w:r>
        <w:t xml:space="preserve"> electrons are in the core, all Nd-containing calculations were non-spin-polarized, and no Hubbard </w:t>
      </w:r>
      <w:r>
        <w:rPr>
          <w:i/>
          <w:iCs/>
        </w:rPr>
        <w:t xml:space="preserve">U</w:t>
      </w:r>
      <w:r>
        <w:t xml:space="preserve"> correction was applied. The vacancies were placed in 3 × 3 × 3 (Li</w:t>
      </w:r>
      <w:r>
        <w:rPr>
          <w:vertAlign w:val="subscript"/>
        </w:rPr>
        <w:t xml:space="preserve">2</w:t>
      </w:r>
      <w:r>
        <w:t xml:space="preserve">S, 80 atoms) and 2 × 2 × 2 (Li</w:t>
      </w:r>
      <w:r>
        <w:rPr>
          <w:vertAlign w:val="subscript"/>
        </w:rPr>
        <w:t xml:space="preserve">3</w:t>
      </w:r>
      <w:r>
        <w:t xml:space="preserve">Nd, 31 atoms) supercells of the primitive cells, with a 3 × 3 × 3 </w:t>
      </w:r>
      <w:r>
        <w:rPr>
          <w:i/>
          <w:iCs/>
        </w:rPr>
        <w:t xml:space="preserve">k</w:t>
      </w:r>
      <w:r>
        <w:t xml:space="preserve">-point grid for both. The vacancy in insulating Li</w:t>
      </w:r>
      <w:r>
        <w:rPr>
          <w:vertAlign w:val="subscript"/>
        </w:rPr>
        <w:t xml:space="preserve">2</w:t>
      </w:r>
      <w:r>
        <w:t xml:space="preserve">S was modeled in the negatively charged state (V</w:t>
      </w:r>
      <w:r>
        <w:rPr>
          <w:vertAlign w:val="subscript"/>
        </w:rPr>
        <w:t xml:space="preserve">Li</w:t>
      </w:r>
      <w:r>
        <w:rPr>
          <w:vertAlign w:val="superscript"/>
        </w:rPr>
        <w:t xml:space="preserve">−</w:t>
      </w:r>
      <w:r>
        <w:t xml:space="preserve">) with a uniform compensating background charge and Gaussian smearing of 0.005 Ry, whereas that in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endpoint configurations were relaxed with the cell fixed until all force components were below 10</w:t>
      </w:r>
      <w:r>
        <w:rPr>
          <w:vertAlign w:val="superscript"/>
        </w:rPr>
        <w:t xml:space="preserve">−3</w:t>
      </w:r>
      <w:r>
        <w:t xml:space="preserve"> Ry bohr</w:t>
      </w:r>
      <w:r>
        <w:rPr>
          <w:vertAlign w:val="superscript"/>
        </w:rPr>
        <w:t xml:space="preserve">−1</w:t>
      </w:r>
      <w:r>
        <w:t xml:space="preserve">, and the minimum-energy path, represented by seven images including the two endpoints, was optimized until the force perpendicular to the path on every image fell below 0.05 eV Å</w:t>
      </w:r>
      <w:r>
        <w:rPr>
          <w:vertAlign w:val="superscript"/>
        </w:rPr>
        <w:t xml:space="preserve">−1</w:t>
      </w:r>
      <w:r>
        <w:t xml:space="preserve">. For Li</w:t>
      </w:r>
      <w:r>
        <w:rPr>
          <w:vertAlign w:val="subscript"/>
        </w:rPr>
        <w:t xml:space="preserve">3</w:t>
      </w:r>
      <w:r>
        <w:t xml:space="preserve">Nd, both vacancy endpoints reconstructed substantially on relaxation from the ideal lattice, so the barrier refers to this locally reconstructed 2 × 2 × 2 model. A check with a 3 × 3 × 3 supercell was attempted, but its vacancy endpoints also reconstructed substantially and the CI-NEB between them did not converge; the Li</w:t>
      </w:r>
      <w:r>
        <w:rPr>
          <w:vertAlign w:val="subscript"/>
        </w:rPr>
        <w:t xml:space="preserve">3</w:t>
      </w:r>
      <w:r>
        <w:t xml:space="preserve">Nd barrier is therefore not converged with respect to cell size.</w:t>
      </w:r>
    </w:p>
    <w:p>
      <w:pPr>
        <w:spacing w:after="0" w:line="480" w:lineRule="auto"/>
        <w:ind w:firstLineChars="150" w:firstLine="360"/>
        <w:jc w:val="both"/>
      </w:pPr>
      <w:r>
        <w:t xml:space="preserve">The band gaps of the interphase components in Fig. 3h were calculated for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β-Li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rock-salt LiCl (mp-22905, </w:t>
      </w:r>
      <w:r>
        <w:rPr>
          <w:i/>
          <w:iCs/>
        </w:rPr>
        <w:t xml:space="preserve">Fm</w:t>
      </w:r>
      <w:r>
        <w:t xml:space="preserve">3̅</w:t>
      </w:r>
      <w:r>
        <w:rPr>
          <w:i/>
          <w:iCs/>
        </w:rPr>
        <w:t xml:space="preserve">m</w:t>
      </w:r>
      <w:r>
        <w:t xml:space="preserve">), starting from the Materials Project structures [7]. GBRV ultrasoft pseudopotentials were used for Li, S, and Cl [8], and PSlibrary datasets were used for P (ultrasoft) and O (PAW) [9]. The full relaxation and the subsequent self-consistent calculation used Marzari–Vanderbilt smearing [10] of 0.01 Ry and a </w:t>
      </w:r>
      <w:r>
        <w:rPr>
          <w:i/>
          <w:iCs/>
        </w:rPr>
        <w:t xml:space="preserve">k</w:t>
      </w:r>
      <w:r>
        <w:t xml:space="preserve">-point spacing of 0.30 Å</w:t>
      </w:r>
      <w:r>
        <w:rPr>
          <w:vertAlign w:val="superscript"/>
        </w:rPr>
        <w:t xml:space="preserve">−1</w:t>
      </w:r>
      <w:r>
        <w:t xml:space="preserve">. The band gap was then taken as the difference between the lowest unoccupied and highest occupied Kohn–Sham eigenvalues of a non-self-consistent calculation with fixed occupations on a denser </w:t>
      </w:r>
      <w:r>
        <w:rPr>
          <w:i/>
          <w:iCs/>
        </w:rPr>
        <w:t xml:space="preserve">k</w:t>
      </w:r>
      <w:r>
        <w:t xml:space="preserve">-point grid (spacing 0.15 Å</w:t>
      </w:r>
      <w:r>
        <w:rPr>
          <w:vertAlign w:val="superscript"/>
        </w:rPr>
        <w:t xml:space="preserve">−1</w:t>
      </w:r>
      <w:r>
        <w:t xml:space="preserve">), based on the self-consistent charge density. Because PBE is known to underestimate band gaps, the calculated values were used for comparison among the phases.</w:t>
      </w:r>
    </w:p>
    <w:p>
      <w:pPr>
        <w:spacing w:after="0" w:line="480" w:lineRule="auto"/>
        <w:ind w:firstLineChars="150" w:firstLine="360"/>
        <w:jc w:val="both"/>
      </w:pPr>
      <w:r>
        <w:t xml:space="preserve">Interfacial reaction energies between the solid electrolytes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as implemented in pymatgen [12], using Materials Project energies [7] in the mixed GGA/GGA+</w:t>
      </w:r>
      <w:r>
        <w:rPr>
          <w:i/>
          <w:iCs/>
        </w:rPr>
        <w:t xml:space="preserve">U</w:t>
      </w:r>
      <w:r>
        <w:t xml:space="preserve"> scheme [13] with the MP2020 energy corrections [14].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and NCM were represented by the convex-hull energies at their compositions. The interface was treated as open to Li, with the Li chemical potential set by the applied voltage </w:t>
      </w:r>
      <w:r>
        <w:rPr>
          <w:i/>
          <w:iCs/>
        </w:rPr>
        <w:t xml:space="preserve">φ</w:t>
      </w:r>
      <w:r>
        <w:t xml:space="preserve"> (vs. Li/Li</w:t>
      </w:r>
      <w:r>
        <w:rPr>
          <w:vertAlign w:val="superscript"/>
        </w:rPr>
        <w:t xml:space="preserve">+</w:t>
      </w:r>
      <w:r>
        <w:t xml:space="preserve">) through Eq. (S1) [15], where </w:t>
      </w:r>
      <w:r>
        <w:rPr>
          <w:i/>
          <w:iCs/>
        </w:rPr>
        <w:t xml:space="preserve">μ</w:t>
      </w:r>
      <w:r>
        <w:rPr>
          <w:vertAlign w:val="subscript"/>
        </w:rPr>
        <w:t xml:space="preserve">Li</w:t>
      </w:r>
      <w:r>
        <w:rPr>
          <w:vertAlign w:val="superscript"/>
        </w:rPr>
        <w:t xml:space="preserve">0</w:t>
      </w:r>
      <w:r>
        <w:t xml:space="preserve"> is the chemical potential of Li metal and </w:t>
      </w:r>
      <w:r>
        <w:rPr>
          <w:i/>
          <w:iCs/>
        </w:rPr>
        <w:t xml:space="preserve">e</w:t>
      </w:r>
      <w:r>
        <w:t xml:space="preserve"> is the elementary charge. The grand potential of a phase or phase assemblage is given by Eq. (S2), where </w:t>
      </w:r>
      <w:r>
        <w:rPr>
          <w:i/>
          <w:iCs/>
        </w:rPr>
        <w:t xml:space="preserve">E</w:t>
      </w:r>
      <w:r>
        <w:t xml:space="preserve"> is its energy and </w:t>
      </w:r>
      <w:r>
        <w:rPr>
          <w:i/>
          <w:iCs/>
        </w:rPr>
        <w:t xml:space="preserve">N</w:t>
      </w:r>
      <w:r>
        <w:rPr>
          <w:vertAlign w:val="subscript"/>
        </w:rPr>
        <w:t xml:space="preserve">Li</w:t>
      </w:r>
      <w:r>
        <w:t xml:space="preserve"> is its number of Li atoms; all grand potentials were normalized per atom excluding Li. The reaction energy was obtained from Eq. (S3), where </w:t>
      </w:r>
      <w:r>
        <w:rPr>
          <w:i/>
          <w:iCs/>
        </w:rPr>
        <w:t xml:space="preserve">x</w:t>
      </w:r>
      <w:r>
        <w:t xml:space="preserve"> is the fraction of SE in the SE/NCM mixture (per atom excluding Li), </w:t>
      </w:r>
      <w:r>
        <w:rPr>
          <w:i/>
          <w:iCs/>
        </w:rPr>
        <w:t xml:space="preserve">Φ</w:t>
      </w:r>
      <w:r>
        <w:rPr>
          <w:vertAlign w:val="subscript"/>
        </w:rPr>
        <w:t xml:space="preserve">eq</w:t>
      </w:r>
      <w:r>
        <w:t xml:space="preserve">(</w:t>
      </w:r>
      <w:r>
        <w:rPr>
          <w:i/>
          <w:iCs/>
        </w:rPr>
        <w:t xml:space="preserve">x</w:t>
      </w:r>
      <w:r>
        <w:t xml:space="preserve">) is the grand potential of the equilibrium phases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those of the unreacted SE and NCM. Because the unreacted SE and NCM served as the reference, the reaction energy also includes the decomposition of each reactant at the applied voltage, in addition to their mutual reaction. The calculations were performed at 2.5, 3.0, 3.5, 4.0, 4.3, and 4.5 V, and the reaction products were taken from the equilibrium phases at the minimizing </w:t>
      </w:r>
      <w:r>
        <w:rPr>
          <w:i/>
          <w:iCs/>
        </w:rPr>
        <w:t xml:space="preserve">x</w:t>
      </w:r>
      <w:r>
        <w:t xml:space="preserve">.</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 of the Nd-containing cathode–electrolyte interphase component NdP</w:t>
      </w:r>
      <w:r>
        <w:rPr>
          <w:vertAlign w:val="subscript"/>
        </w:rPr>
        <w:t xml:space="preserve">5</w:t>
      </w:r>
      <w:r>
        <w:t xml:space="preserve">O</w:t>
      </w:r>
      <w:r>
        <w:rPr>
          <w:vertAlign w:val="subscript"/>
        </w:rPr>
        <w:t xml:space="preserve">14</w:t>
      </w:r>
      <w:r>
        <w:t xml:space="preserve"> (mp-560681, </w:t>
      </w:r>
      <w:r>
        <w:rPr>
          <w:i/>
          <w:iCs/>
        </w:rPr>
        <w:t xml:space="preserve">Pmna</w:t>
      </w:r>
      <w:r>
        <w:t xml:space="preserve">; Fig. SX) was calculated with the same procedure as for Fig. 3h, but with PAW datasets from PSlibrary for all elements [9]. Because the Nd 4</w:t>
      </w:r>
      <w:r>
        <w:rPr>
          <w:i/>
          <w:iCs/>
        </w:rPr>
        <w:t xml:space="preserve">f</w:t>
      </w:r>
      <w:r>
        <w:t xml:space="preserve"> electrons are frozen in the core, the calculated gap does not include the localized Nd 4</w:t>
      </w:r>
      <w:r>
        <w:rPr>
          <w:i/>
          <w:iCs/>
        </w:rPr>
        <w:t xml:space="preserve">f</w:t>
      </w:r>
      <w:r>
        <w:t xml:space="preserve"> states.</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A. Wang, R. Kingsbury, M. McDermott, M. Horton, A. Jain, S. P. Ong, S. Dwaraknath, K. A. Persson, A framework for quantifying uncertainty in DFT energy corrections, Sci. Rep. 11 (2021) 15496. https://doi.org/10.1038/s41598-021-94550-5.</w:t>
      </w:r>
    </w:p>
    <w:p>
      <w:pPr>
        <w:tabs>
          <w:tab w:val="left" w:pos="560"/>
        </w:tabs>
        <w:spacing w:after="0" w:line="480" w:lineRule="auto"/>
        <w:ind w:left="560" w:hanging="560"/>
      </w:pPr>
      <w:r>
        <w:t xml:space="preserve">[15]</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