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4.5. DFT calculations</w:t>
      </w:r>
    </w:p>
    <w:p>
      <w:pPr>
        <w:spacing w:after="0" w:line="480" w:lineRule="auto"/>
        <w:ind w:firstLineChars="150" w:firstLine="360"/>
        <w:jc w:val="both"/>
      </w:pPr>
      <w:r>
        <w:t xml:space="preserve">DFT calculations were performed with Quantum ESPRESSO [1–3] using the Perdew–Burke–Ernzerhof (PBE) generalized gradient approximation (GGA) [4], with kinetic energy cutoffs of 60 and 480 Ry for the wavefunctions and charge density, respectively. The Brillouin zone was sampled with Γ-centered Monkhorst–Pack </w:t>
      </w:r>
      <w:r>
        <w:rPr>
          <w:i/>
          <w:iCs/>
        </w:rPr>
        <w:t xml:space="preserve">k</w:t>
      </w:r>
      <w:r>
        <w:t xml:space="preserve">-point grids [5]. Further computational details are given in the Supplementary Material.</w:t>
      </w:r>
    </w:p>
    <w:p>
      <w:pPr>
        <w:spacing w:after="0" w:line="480" w:lineRule="auto"/>
        <w:ind w:firstLineChars="150" w:firstLine="360"/>
        <w:jc w:val="both"/>
      </w:pPr>
      <w:r>
        <w:t xml:space="preserve">Li migration barriers (Fig. 3f,g) were calculated with the climbing-image nudged elastic band method [6] for a Li vacancy hopping between nearest-neighbor 8</w:t>
      </w:r>
      <w:r>
        <w:rPr>
          <w:i/>
          <w:iCs/>
        </w:rPr>
        <w:t xml:space="preserve">c</w:t>
      </w:r>
      <w:r>
        <w:t xml:space="preserve"> sites. Antifluorite Li</w:t>
      </w:r>
      <w:r>
        <w:rPr>
          <w:vertAlign w:val="subscript"/>
        </w:rPr>
        <w:t xml:space="preserve">2</w:t>
      </w:r>
      <w:r>
        <w:t xml:space="preserve">S and the Li–Nd alloy, represented by a hypothetical ordered BiF</w:t>
      </w:r>
      <w:r>
        <w:rPr>
          <w:vertAlign w:val="subscript"/>
        </w:rPr>
        <w:t xml:space="preserve">3</w:t>
      </w:r>
      <w:r>
        <w:t xml:space="preserve">-type Li</w:t>
      </w:r>
      <w:r>
        <w:rPr>
          <w:vertAlign w:val="subscript"/>
        </w:rPr>
        <w:t xml:space="preserve">3</w:t>
      </w:r>
      <w:r>
        <w:t xml:space="preserve">Nd model, were built from the Materials Project structures [7] and modeled with 3 × 3 × 3 and 2 × 2 × 2 supercells of their primitive cells, respectively. The Li vacancy was negatively charged in insulating Li</w:t>
      </w:r>
      <w:r>
        <w:rPr>
          <w:vertAlign w:val="subscript"/>
        </w:rPr>
        <w:t xml:space="preserve">2</w:t>
      </w:r>
      <w:r>
        <w:t xml:space="preserve">S and neutral in metallic Li</w:t>
      </w:r>
      <w:r>
        <w:rPr>
          <w:vertAlign w:val="subscript"/>
        </w:rPr>
        <w:t xml:space="preserve">3</w:t>
      </w:r>
      <w:r>
        <w:t xml:space="preserve">Nd. GBRV ultrasoft pseudopotentials were used for Li and S [8], and a projector augmented-wave (PAW) dataset from PSlibrary with the Nd 4</w:t>
      </w:r>
      <w:r>
        <w:rPr>
          <w:i/>
          <w:iCs/>
        </w:rPr>
        <w:t xml:space="preserve">f</w:t>
      </w:r>
      <w:r>
        <w:t xml:space="preserve"> electrons frozen in the core was used for Nd [9]. The limitations of the Li</w:t>
      </w:r>
      <w:r>
        <w:rPr>
          <w:vertAlign w:val="subscript"/>
        </w:rPr>
        <w:t xml:space="preserve">3</w:t>
      </w:r>
      <w:r>
        <w:t xml:space="preserve">Nd model are described in the Supplementary Material.</w:t>
      </w:r>
    </w:p>
    <w:p>
      <w:pPr>
        <w:spacing w:after="0" w:line="480" w:lineRule="auto"/>
        <w:ind w:firstLineChars="150" w:firstLine="360"/>
        <w:jc w:val="both"/>
      </w:pPr>
      <w:r>
        <w:t xml:space="preserve">The band gaps of Li</w:t>
      </w:r>
      <w:r>
        <w:rPr>
          <w:vertAlign w:val="subscript"/>
        </w:rPr>
        <w:t xml:space="preserve">2</w:t>
      </w:r>
      <w:r>
        <w:t xml:space="preserve">S, Li</w:t>
      </w:r>
      <w:r>
        <w:rPr>
          <w:vertAlign w:val="subscript"/>
        </w:rPr>
        <w:t xml:space="preserve">3</w:t>
      </w:r>
      <w:r>
        <w:t xml:space="preserve">P, Li</w:t>
      </w:r>
      <w:r>
        <w:rPr>
          <w:vertAlign w:val="subscript"/>
        </w:rPr>
        <w:t xml:space="preserve">2</w:t>
      </w:r>
      <w:r>
        <w:t xml:space="preserve">O, β-Li</w:t>
      </w:r>
      <w:r>
        <w:rPr>
          <w:vertAlign w:val="subscript"/>
        </w:rPr>
        <w:t xml:space="preserve">3</w:t>
      </w:r>
      <w:r>
        <w:t xml:space="preserve">PO</w:t>
      </w:r>
      <w:r>
        <w:rPr>
          <w:vertAlign w:val="subscript"/>
        </w:rPr>
        <w:t xml:space="preserve">4</w:t>
      </w:r>
      <w:r>
        <w:t xml:space="preserve">, and LiCl (Fig. 3h) were taken as the difference between the lowest unoccupied and highest occupied Kohn–Sham eigenvalues of non-self-consistent calculations with fixed occupations, after full relaxation of the Materials Project structures [7]. GBRV ultrasoft pseudopotentials were used for Li, S, and Cl [8], and PSlibrary datasets were used for P and O [9]. Because PBE is known to underestimate band gaps, the calculated values were used for comparison among the phases.</w:t>
      </w:r>
    </w:p>
    <w:p>
      <w:pPr>
        <w:spacing w:after="0" w:line="480" w:lineRule="auto"/>
        <w:ind w:firstLineChars="150" w:firstLine="360"/>
        <w:jc w:val="both"/>
      </w:pPr>
      <w:r>
        <w:t xml:space="preserve">Interfacial reaction energies between the SEs and NCM were calculated as a function of voltage (Fig. 5e,f) following the approach of Richards et al. [10], as implemented in pymatgen [11], using Materials Project energies [7] in the mixed GGA/GGA+</w:t>
      </w:r>
      <w:r>
        <w:rPr>
          <w:i/>
          <w:iCs/>
        </w:rPr>
        <w:t xml:space="preserve">U</w:t>
      </w:r>
      <w:r>
        <w:t xml:space="preserve"> scheme with the MP2020 energy corrections [12,13]. The SEs and NCM were represented by the convex-hull energies at their compositions, and the interface was treated as open to Li at a chemical potential </w:t>
      </w:r>
      <w:r>
        <w:rPr>
          <w:i/>
          <w:iCs/>
        </w:rPr>
        <w:t xml:space="preserve">μ</w:t>
      </w:r>
      <w:r>
        <w:rPr>
          <w:vertAlign w:val="subscript"/>
        </w:rPr>
        <w:t xml:space="preserve">Li</w:t>
      </w:r>
      <w:r>
        <w:t xml:space="preserve">(</w:t>
      </w:r>
      <w:r>
        <w:rPr>
          <w:i/>
          <w:iCs/>
        </w:rPr>
        <w:t xml:space="preserve">φ</w:t>
      </w:r>
      <w:r>
        <w:t xml:space="preserve">) = </w:t>
      </w:r>
      <w:r>
        <w:rPr>
          <w:i/>
          <w:iCs/>
        </w:rPr>
        <w:t xml:space="preserve">μ</w:t>
      </w:r>
      <w:r>
        <w:rPr>
          <w:vertAlign w:val="subscript"/>
        </w:rPr>
        <w:t xml:space="preserve">Li</w:t>
      </w:r>
      <w:r>
        <w:rPr>
          <w:vertAlign w:val="superscript"/>
        </w:rPr>
        <w:t xml:space="preserve">0</w:t>
      </w:r>
      <w:r>
        <w:t xml:space="preserve"> − </w:t>
      </w:r>
      <w:r>
        <w:rPr>
          <w:i/>
          <w:iCs/>
        </w:rPr>
        <w:t xml:space="preserve">eφ</w:t>
      </w:r>
      <w:r>
        <w:t xml:space="preserve"> [14], where </w:t>
      </w:r>
      <w:r>
        <w:rPr>
          <w:i/>
          <w:iCs/>
        </w:rPr>
        <w:t xml:space="preserve">μ</w:t>
      </w:r>
      <w:r>
        <w:rPr>
          <w:vertAlign w:val="subscript"/>
        </w:rPr>
        <w:t xml:space="preserve">Li</w:t>
      </w:r>
      <w:r>
        <w:rPr>
          <w:vertAlign w:val="superscript"/>
        </w:rPr>
        <w:t xml:space="preserve">0</w:t>
      </w:r>
      <w:r>
        <w:t xml:space="preserve"> is the chemical potential of Li metal, </w:t>
      </w:r>
      <w:r>
        <w:rPr>
          <w:i/>
          <w:iCs/>
        </w:rPr>
        <w:t xml:space="preserve">e</w:t>
      </w:r>
      <w:r>
        <w:t xml:space="preserve"> is the elementary charge, and </w:t>
      </w:r>
      <w:r>
        <w:rPr>
          <w:i/>
          <w:iCs/>
        </w:rPr>
        <w:t xml:space="preserve">φ</w:t>
      </w:r>
      <w:r>
        <w:t xml:space="preserve"> is the applied voltage vs. Li/Li</w:t>
      </w:r>
      <w:r>
        <w:rPr>
          <w:vertAlign w:val="superscript"/>
        </w:rPr>
        <w:t xml:space="preserve">+</w:t>
      </w:r>
      <w:r>
        <w:t xml:space="preserve">. At each voltage, the reaction energy was taken as the most negative grand-potential reaction energy over all SE/NCM mixing ratios, and the corresponding reaction products were identified. Because the unreacted SEs and NCM served as the reference, this energy also includes the decomposition of each reactant at the applied voltage.</w:t>
      </w:r>
    </w:p>
    <w:p>
      <w:pPr>
        <w:spacing w:after="0" w:line="480" w:lineRule="auto"/>
        <w:ind w:firstLineChars="150" w:firstLine="360"/>
        <w:jc w:val="both"/>
      </w:pPr>
      <w:r>
        <w:t xml:space="preserve">The band gap of the Nd-containing CEI component NdP</w:t>
      </w:r>
      <w:r>
        <w:rPr>
          <w:vertAlign w:val="subscript"/>
        </w:rPr>
        <w:t xml:space="preserve">5</w:t>
      </w:r>
      <w:r>
        <w:t xml:space="preserve">O</w:t>
      </w:r>
      <w:r>
        <w:rPr>
          <w:vertAlign w:val="subscript"/>
        </w:rPr>
        <w:t xml:space="preserve">14</w:t>
      </w:r>
      <w:r>
        <w:t xml:space="preserve"> (Fig. SX) was calculated with the same procedure as for Fig. 3h, but with PAW datasets from PSlibrary for all elements, including the Nd dataset with the 4</w:t>
      </w:r>
      <w:r>
        <w:rPr>
          <w:i/>
          <w:iCs/>
        </w:rPr>
        <w:t xml:space="preserve">f</w:t>
      </w:r>
      <w:r>
        <w:t xml:space="preserve"> electrons frozen in the core [9].</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[11]</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[12]</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[13]</w:t>
      </w:r>
      <w:r>
        <w:tab/>
      </w:r>
      <w:r>
        <w:t xml:space="preserve">A. Wang, R. Kingsbury, M. McDermott, M. Horton, A. Jain, S. P. Ong, S. Dwaraknath, K. A. Persson, A framework for quantifying uncertainty in DFT energy corrections, Sci. Rep. 11 (2021) 15496. https://doi.org/10.1038/s41598-021-94550-5.</w:t>
      </w:r>
    </w:p>
    <w:p>
      <w:pPr>
        <w:tabs>
          <w:tab w:val="left" w:pos="560"/>
        </w:tabs>
        <w:spacing w:after="0" w:line="480" w:lineRule="auto"/>
        <w:ind w:left="560" w:hanging="560"/>
      </w:pPr>
      <w:r>
        <w:t xml:space="preserve">[14]</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