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Manuscript — Experimental section</w:t>
      </w:r>
    </w:p>
    <w:p>
      <w:pPr>
        <w:spacing w:after="20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Insert after the “Discrete element method” paragraph, replacing the placeholder “Computational details: DFT”. Equations (1) and (2) are already used by the discrete-element section, so the adsorption-energy expression is numbered (3).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Computational details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: Spin-polarised density functional theory (DFT) calculations were performed with Quantum ESPRESSO [ref] using the Perdew–Burke–Ernzerhof functional, Grimme D3 dispersion, and a Hubbard correction of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U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= 6.2 eV on the Ni 3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d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states. Wave functions and the charge density were expanded to 60 and 480 Ry, respectively, with Gaussian smearing of 0.05 eV and a self-consistency threshold of 1 × 10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perscript"/>
        </w:rPr>
        <w:t xml:space="preserve">−6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Ry. The NCM811 surface was modelled as an antiferromagnetic LiNiO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(104) slab (1 × 4, four layers, 192 atoms, 18.27 × 11.51 Å in plane) with more than 15 Å of vacuum, sampled with a Γ-centred 2 × 3 × 1 mesh and a dipole correction along the surface normal. SDCP was represented by its sulfonate-functionalised EDOT repeat unit (C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11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H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O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; the self-doped form C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11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H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O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was obtained by removing the sulfonate proton) and PTFE by a C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10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segment. Adsorption configurations were pre-screened over seven surface sites and 48 molecular orientations with a machine-learned interatomic potential [ref], and the lowest-energy configuration of each species on the surface Li and Ni sites was evaluated by DFT. Gas-phase references were relaxed at the Γ point in the same cell until residual forces fell below 1 × 10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perscript"/>
        </w:rPr>
        <w:t xml:space="preserve">−3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Ry bohr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perscript"/>
        </w:rPr>
        <w:t xml:space="preserve">−1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, with the box padding increased from 20 to 24 Å to confirm convergence. Adsorption energies were obtained as</w:t>
      </w:r>
    </w:p>
    <w:p>
      <w:pPr>
        <w:spacing w:after="160" w:before="160" w:line="3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ads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=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(slab+molecule) −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(slab) −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(molecule)</w:t>
      </w:r>
      <w:r>
        <w:ptab w:alignment="right" w:relativeTo="margin" w:leader="none"/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(3)</w:t>
      </w:r>
    </w:p>
    <w:p>
      <w:pPr>
        <w:spacing w:after="200" w:before="0" w:line="3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where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(slab+molecule),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(slab), and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(molecule) are the total energies of the adsorbed complex, the clean slab, and the isolated molecule, respectively, all computed with identical settings and the same antiferromagnetic configuration.</w:t>
      </w:r>
    </w:p>
    <w:p>
      <w:r>
        <w:br w:type="page"/>
      </w:r>
    </w:p>
    <w:p>
      <w:pPr>
        <w:spacing w:after="200" w:before="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Supporting Information</w:t>
      </w:r>
    </w:p>
    <w:p>
      <w:pPr>
        <w:spacing w:after="160" w:before="0" w:line="30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Table S1. Parameters used for the DFT calculations.</w:t>
      </w:r>
    </w:p>
    <w:tbl>
      <w:tblPr>
        <w:tblW w:type="dxa" w:w="9360"/>
        <w:tblBorders>
          <w:top w:val="single" w:color="808080" w:sz="6"/>
          <w:left w:val="none"/>
          <w:bottom w:val="single" w:color="808080" w:sz="6"/>
          <w:right w:val="none"/>
          <w:insideH w:val="single" w:color="BFBFBF" w:sz="2"/>
          <w:insideV w:val="none"/>
        </w:tblBorders>
      </w:tblPr>
      <w:tblGrid>
        <w:gridCol w:w="1500"/>
        <w:gridCol w:w="2760"/>
        <w:gridCol w:w="3200"/>
        <w:gridCol w:w="800"/>
        <w:gridCol w:w="1100"/>
      </w:tblGrid>
      <w:tr>
        <w:tc>
          <w:tcPr>
            <w:tcW w:type="dxa" w:w="15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276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32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8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11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Code / functional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Quantum ESPRESSO; PBE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S1, S2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Dispersion / Hubbard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(Ni 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Grimme D3; 6.2 eV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S3, S4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Cutoff (wavefunction / charge density)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 / 480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Smearing (Gaussian)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0.05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Convergence (SCF / force)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 × 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Ry / 1 × 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Ry bohr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−1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-point mesh (slab / check / molecule)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× 3 × 1 / 3 × 4 × 1 / Γ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Γ-centred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Surface model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Slab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LiNiO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(104), 1 × 4, four layers, 192 atoms (Li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48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48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96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 (in-plane × height)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18.27 × 11.51 × 30.26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Adsorbate–image separation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&gt; 15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Constrained atoms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144 (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z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≤ 17.40 Å)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Magnetic configuration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Antiferromagnetic (net 0); Ni 1.02 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B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Dipole correction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Along surface normal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Adsorbate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SDCP repeat unit (neutral / self-doped)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/ 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PTFE segment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22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Gas-phase reference box padding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 and 24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Configuration search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Potential; sites / orientations; force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UMA-s-1p1; 7 / 48; 0.05 eV Å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−1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S5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Adsorption energy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Definition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Equation (3)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20" w:before="0" w:line="300"/>
      </w:pPr>
    </w:p>
    <w:p>
      <w:pPr>
        <w:spacing w:after="80" w:before="0" w:line="30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Figure captions (DFT panels)</w:t>
      </w:r>
    </w:p>
    <w:p>
      <w:pPr>
        <w:spacing w:after="6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Figure 2e. Calculated adsorption energies of the SDCP repeat unit and a PTFE segment on the LiNiO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(104) surface. ⟨values to be inserted⟩</w:t>
      </w:r>
    </w:p>
    <w:p>
      <w:pPr>
        <w:spacing w:after="6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Figure S3. Computational models used for the DFT calculations: the LiNiO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(104) slab and the adsorbed SDCP (neutral and self-doped) and PTFE segments.</w:t>
      </w:r>
    </w:p>
    <w:p>
      <w:pPr>
        <w:spacing w:after="140" w:before="0" w:line="300"/>
      </w:pPr>
    </w:p>
    <w:p>
      <w:pPr>
        <w:spacing w:after="80" w:before="0" w:line="30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References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[S1] P. Giannozzi, S. Baroni, N. Bonini, M. Calandra, R. Car, C. Cavazzoni, D. Ceresoli, G. L. Chiarotti, M. Cococcioni, I. Dabo, A. Dal Corso, S. de Gironcoli, S. Fabris, G. Fratesi, R. Gebauer, U. Gerstmann, C. Gougoussis, A. Kokalj, M. Lazzeri, L. Martin-Samos, N. Marzari, F. Mauri, R. Mazzarello, S. Paolini, A. Pasquarello, L. Paulatto, C. Sbraccia, S. Scandolo, G. Sclauzero, A. P. Seitsonen, A. Smogunov, P. Umari, R. M. Wentzcovitch, QUANTUM ESPRESSO: a modular and open-source software project for quantum simulations of materials, J. Phys.: Condens. Matter 21 (2009) 395502.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[S2] J. P. Perdew, K. Burke, M. Ernzerhof, Generalized gradient approximation made simple, Phys. Rev. Lett. 77 (1996) 3865–3868.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[S3] S. Grimme, J. Antony, S. Ehrlich, H. Krieg, A consistent and accurate ab initio parametrization of density functional dispersion correction (DFT-D) for the 94 elements H-Pu, J. Chem. Phys. 132 (2010) 154104.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[S4] A. Jain, G. Hautier, S. P. Ong, C. J. Moore, C. C. Fischer, K. A. Persson, G. Ceder, Formation enthalpies by mixing GGA and GGA+U calculations, Phys. Rev. B 84 (2011) 045115. https://doi.org/10.1103/PhysRevB.84.045115.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[S5] B. M. Wood, M. Dzamba, X. Fu, M. Gao, M. Shuaibi, L. Barroso-Luque, K. Abdelmaqsoud, V. Gharakhanyan, J. R. Kitchin, D. S. Levine, K. Michel, A. Sriram, T. S. Cohen, A. Das, S. J. Sahoo, A. Rizvi, Z. W. Ulissi, C. L. Zitnick, UMA: A family of universal models for atoms, Adv. Neural Inf. Process. Syst. 38 (2025) 143528–143564.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2026-08-24T01:27:42.773Z</dcterms:created>
  <dcterms:modified xsi:type="dcterms:W3CDTF">2026-08-24T01:27:42.789Z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