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The binder-free NCM811–LPSCl composite compacts to 68.0 μm at 9.8 % porosity, and the SBE and DBE both reach 72.48 μm, at porosities of 7.87 % and 7.39 %, respectively.</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 </w:t>
            </w:r>
            <w:r>
              <w:rPr>
                <w:rFonts w:ascii="Times New Roman" w:cs="Times New Roman" w:eastAsia="Times New Roman" w:hAnsi="Times New Roman"/>
                <w:sz w:val="21"/>
                <w:szCs w:val="21"/>
                <w:vertAlign w:val="superscript"/>
              </w:rPr>
              <w:t xml:space="preserve">a</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 </w:t>
            </w:r>
            <w:r>
              <w:rPr>
                <w:rFonts w:ascii="Times New Roman" w:cs="Times New Roman" w:eastAsia="Times New Roman" w:hAnsi="Times New Roman"/>
                <w:sz w:val="21"/>
                <w:szCs w:val="21"/>
                <w:vertAlign w:val="superscript"/>
              </w:rPr>
              <w:t xml:space="preserve">b</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23.6</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 </w:t>
            </w:r>
            <w:r>
              <w:rPr>
                <w:rFonts w:ascii="Times New Roman" w:cs="Times New Roman" w:eastAsia="Times New Roman" w:hAnsi="Times New Roman"/>
                <w:sz w:val="21"/>
                <w:szCs w:val="21"/>
                <w:vertAlign w:val="superscript"/>
              </w:rPr>
              <w:t xml:space="preserve">c</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 </w:t>
            </w:r>
            <w:r>
              <w:rPr>
                <w:rFonts w:ascii="Times New Roman" w:cs="Times New Roman" w:eastAsia="Times New Roman" w:hAnsi="Times New Roman"/>
                <w:sz w:val="21"/>
                <w:szCs w:val="21"/>
                <w:vertAlign w:val="superscript"/>
              </w:rPr>
              <w:t xml:space="preserve">d</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Effective network value calibrated against the measured electrode response, not the intrinsic conductivity of NCM811.</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The voxel representation fuses touching fibres and therefore carries no explicit fibre–fibre contact resistance, so the contact-inclusive compressed-powder value is used rather than the intrinsic single-fibre value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At a 0.15 μm voxel the fibre is one voxel wide, and the conductivity is rescaled by the circle-in-square area ratio (π/4) so that the axial conductance is preserved.</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Values used in the compaction simulations, corresponding to an earlier analysis of the AFM modulus maps.</w:t>
      </w:r>
    </w:p>
    <w:p>
      <w:pPr>
        <w:spacing w:after="60"/>
        <w:ind w:left="200"/>
        <w:jc w:val="both"/>
      </w:pPr>
      <w:r>
        <w:rPr>
          <w:rFonts w:ascii="Times New Roman" w:cs="Times New Roman" w:eastAsia="Times New Roman" w:hAnsi="Times New Roman"/>
          <w:sz w:val="21"/>
          <w:szCs w:val="21"/>
          <w:vertAlign w:val="superscript"/>
        </w:rPr>
        <w:t xml:space="preserve">d</w:t>
      </w:r>
      <w:r>
        <w:rPr>
          <w:rFonts w:ascii="Times New Roman" w:cs="Times New Roman" w:eastAsia="Times New Roman" w:hAnsi="Times New Roman"/>
          <w:sz w:val="21"/>
          <w:szCs w:val="21"/>
        </w:rPr>
        <w:t xml:space="preserve"> Provisional. Figure 2h is consistent with SDCP acting as an inert filler on the ionic network, and this value has not yet been calibrated against that measurement.</w:t>
      </w: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72.48</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7.87</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7.39</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3.07</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 </w:t>
            </w:r>
            <w:r>
              <w:rPr>
                <w:rFonts w:ascii="Times New Roman" w:cs="Times New Roman" w:eastAsia="Times New Roman" w:hAnsi="Times New Roman"/>
                <w:sz w:val="21"/>
                <w:szCs w:val="21"/>
                <w:vertAlign w:val="superscript"/>
              </w:rPr>
              <w:t xml:space="preserve">b</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 </w:t>
            </w:r>
            <w:r>
              <w:rPr>
                <w:rFonts w:ascii="Times New Roman" w:cs="Times New Roman" w:eastAsia="Times New Roman" w:hAnsi="Times New Roman"/>
                <w:sz w:val="21"/>
                <w:szCs w:val="21"/>
                <w:vertAlign w:val="superscript"/>
              </w:rPr>
              <w:t xml:space="preserve">c</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 </w:t>
            </w:r>
            <w:r>
              <w:rPr>
                <w:rFonts w:ascii="Times New Roman" w:cs="Times New Roman" w:eastAsia="Times New Roman" w:hAnsi="Times New Roman"/>
                <w:sz w:val="21"/>
                <w:szCs w:val="21"/>
                <w:vertAlign w:val="superscript"/>
              </w:rPr>
              <w:t xml:space="preserve">a</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 </w:t>
            </w:r>
            <w:r>
              <w:rPr>
                <w:rFonts w:ascii="Times New Roman" w:cs="Times New Roman" w:eastAsia="Times New Roman" w:hAnsi="Times New Roman"/>
                <w:sz w:val="21"/>
                <w:szCs w:val="21"/>
                <w:vertAlign w:val="superscript"/>
              </w:rPr>
              <w:t xml:space="preserve">c</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spacing w:after="60"/>
        <w:ind w:left="200"/>
        <w:jc w:val="both"/>
      </w:pPr>
      <w:r>
        <w:rPr>
          <w:rFonts w:ascii="Times New Roman" w:cs="Times New Roman" w:eastAsia="Times New Roman" w:hAnsi="Times New Roman"/>
          <w:sz w:val="21"/>
          <w:szCs w:val="21"/>
          <w:vertAlign w:val="superscript"/>
        </w:rPr>
        <w:t xml:space="preserve">a</w:t>
      </w:r>
      <w:r>
        <w:rPr>
          <w:rFonts w:ascii="Times New Roman" w:cs="Times New Roman" w:eastAsia="Times New Roman" w:hAnsi="Times New Roman"/>
          <w:sz w:val="21"/>
          <w:szCs w:val="21"/>
        </w:rPr>
        <w:t xml:space="preserve"> Mean over eight grid-origin arms; the uncertainty is the paired standard error. All eight solves converged.</w:t>
      </w:r>
    </w:p>
    <w:p>
      <w:pPr>
        <w:spacing w:after="60"/>
        <w:ind w:left="200"/>
        <w:jc w:val="both"/>
      </w:pPr>
      <w:r>
        <w:rPr>
          <w:rFonts w:ascii="Times New Roman" w:cs="Times New Roman" w:eastAsia="Times New Roman" w:hAnsi="Times New Roman"/>
          <w:sz w:val="21"/>
          <w:szCs w:val="21"/>
          <w:vertAlign w:val="superscript"/>
        </w:rPr>
        <w:t xml:space="preserve">b</w:t>
      </w:r>
      <w:r>
        <w:rPr>
          <w:rFonts w:ascii="Times New Roman" w:cs="Times New Roman" w:eastAsia="Times New Roman" w:hAnsi="Times New Roman"/>
          <w:sz w:val="21"/>
          <w:szCs w:val="21"/>
        </w:rPr>
        <w:t xml:space="preserve"> Not reported. These descriptors were extracted at the earlier 0.4 μm rasterization and are being re-extracted at the production voxel size.</w:t>
      </w:r>
    </w:p>
    <w:p>
      <w:pPr>
        <w:spacing w:after="60"/>
        <w:ind w:left="200"/>
        <w:jc w:val="both"/>
      </w:pPr>
      <w:r>
        <w:rPr>
          <w:rFonts w:ascii="Times New Roman" w:cs="Times New Roman" w:eastAsia="Times New Roman" w:hAnsi="Times New Roman"/>
          <w:sz w:val="21"/>
          <w:szCs w:val="21"/>
          <w:vertAlign w:val="superscript"/>
        </w:rPr>
        <w:t xml:space="preserve">c</w:t>
      </w:r>
      <w:r>
        <w:rPr>
          <w:rFonts w:ascii="Times New Roman" w:cs="Times New Roman" w:eastAsia="Times New Roman" w:hAnsi="Times New Roman"/>
          <w:sz w:val="21"/>
          <w:szCs w:val="21"/>
        </w:rPr>
        <w:t xml:space="preserve"> Not reported. PTFE is not resolved on the conduction grid, so the ionic network contains no PTFE blocking, and the ionic conductivity of SDCP has not been calibrated against Figure 2h; the model therefore does not yet represent the quantity being compared.</w:t>
      </w: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 기계 물성이 AFM 그림과 어긋난다 (결정 필요).</w:t>
      </w:r>
      <w:r>
        <w:rPr>
          <w:rFonts w:ascii="Times New Roman" w:cs="Times New Roman" w:eastAsia="Times New Roman" w:hAnsi="Times New Roman"/>
          <w:sz w:val="21"/>
          <w:szCs w:val="21"/>
        </w:rPr>
        <w:t xml:space="preserve"> 미세구조는 PTFE 0.30 GPa · SDCP 23.6 GPa 로 압밀했는데 Figure 2g 와 Figure S6–S7 은 1.8 GPa 와 9.0 GPa 를 보고한다.  방법론 표는 </w:t>
      </w:r>
      <w:r>
        <w:rPr>
          <w:rFonts w:ascii="Times New Roman" w:cs="Times New Roman" w:eastAsia="Times New Roman" w:hAnsi="Times New Roman"/>
          <w:b/>
          <w:bCs/>
          <w:sz w:val="21"/>
          <w:szCs w:val="21"/>
        </w:rPr>
        <w:t xml:space="preserve">실제로 돌린 값</w:t>
      </w:r>
      <w:r>
        <w:rPr>
          <w:rFonts w:ascii="Times New Roman" w:cs="Times New Roman" w:eastAsia="Times New Roman" w:hAnsi="Times New Roman"/>
          <w:sz w:val="21"/>
          <w:szCs w:val="21"/>
        </w:rPr>
        <w:t xml:space="preserve">을 적어야 하므로 옛 값에 각주 c 를 달아 두었다.  깨끗한 해법은 전극 한 쌍을 1.8 / 9.0 GPa 로 다시 압밀해 전도도 비가 8팔 산포(±0.7 %) 안에서 움직이는지 확인하는 것이고, 그러면 표에 AFM 값을 그대로 쓸 수 있다.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스윕과 Joule 식을 Methods 에서 뺐다.</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그 문단이 빠지면서 Joule 소산을 쓰는 곳이 논문에 하나도 남지 않으므로(Figure 4b 는 전도도만 보여준다) 두 번째 식과 기호 정의도 함께 삭제하고 남은 식을 (1) 로 번호를 매겼다.  채택한 SDCP 전도도는 이제 Table S2 에만 있다.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2026-08-23T05:44:04.286Z</dcterms:created>
  <dcterms:modified xsi:type="dcterms:W3CDTF">2026-08-23T05:44:04.286Z</dcterms:modified>
</cp:coreProperties>
</file>

<file path=docProps/custom.xml><?xml version="1.0" encoding="utf-8"?>
<Properties xmlns="http://schemas.openxmlformats.org/officeDocument/2006/custom-properties" xmlns:vt="http://schemas.openxmlformats.org/officeDocument/2006/docPropsVTypes"/>
</file>