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line="480" w:lineRule="auto"/>
      </w:pPr>
      <w:r>
        <w:rPr>
          <w:i/>
          <w:iCs/>
        </w:rPr>
        <w:t xml:space="preserve">2.5. Computational Methods</w:t>
      </w:r>
    </w:p>
    <w:p>
      <w:pPr>
        <w:spacing w:after="0" w:line="480" w:lineRule="auto"/>
        <w:ind w:firstLineChars="150" w:firstLine="360"/>
      </w:pPr>
      <w:r>
        <w:t xml:space="preserve">Density functional theory (DFT) calculations were performed with Quantum ESPRESSO and the Perdew–Burke–Ernzerhof generalized gradient approximation,</w:t>
      </w:r>
      <w:r>
        <w:rPr>
          <w:vertAlign w:val="superscript"/>
        </w:rPr>
        <w:t xml:space="preserve">[1–4]</w:t>
      </w:r>
      <w:r>
        <w:t xml:space="preserve"> using SSSP efficiency pseudopotentials (ultrasoft for Li, B, P, S, and Cl; projector augmented-wave (PAW) for O) with kinetic energy cutoffs of 60 and 480 Ry for the wavefunctions and charge density.</w:t>
      </w:r>
      <w:r>
        <w:rPr>
          <w:vertAlign w:val="superscript"/>
        </w:rPr>
        <w:t xml:space="preserve">[5–7]</w:t>
      </w:r>
      <w:r>
        <w:t xml:space="preserve"> Γ-centered Monkhorst–Pack </w:t>
      </w:r>
      <w:r>
        <w:rPr>
          <w:i/>
          <w:iCs/>
        </w:rPr>
        <w:t xml:space="preserve">k</w:t>
      </w:r>
      <w:r>
        <w:t xml:space="preserve">-point grids</w:t>
      </w:r>
      <w:r>
        <w:rPr>
          <w:vertAlign w:val="superscript"/>
        </w:rPr>
        <w:t xml:space="preserve">[8]</w:t>
      </w:r>
      <w:r>
        <w:t xml:space="preserve"> and Marzari–Vanderbilt smearing</w:t>
      </w:r>
      <w:r>
        <w:rPr>
          <w:vertAlign w:val="superscript"/>
        </w:rPr>
        <w:t xml:space="preserve">[9]</w:t>
      </w:r>
      <w:r>
        <w:t xml:space="preserve"> were used; the grids and convergence thresholds of each model are given in the Supporting Information.</w:t>
      </w:r>
    </w:p>
    <w:p>
      <w:pPr>
        <w:spacing w:after="0" w:line="480" w:lineRule="auto"/>
        <w:ind w:firstLineChars="150" w:firstLine="360"/>
      </w:pPr>
      <w:r>
        <w:t xml:space="preserve">Three structural models were constructed: LPSC</w:t>
      </w:r>
      <w:r>
        <w:rPr>
          <w:vertAlign w:val="subscript"/>
        </w:rPr>
        <w:t xml:space="preserve">1.6</w:t>
      </w:r>
      <w:r>
        <w:t xml:space="preserve"> (Li</w:t>
      </w:r>
      <w:r>
        <w:rPr>
          <w:vertAlign w:val="subscript"/>
        </w:rPr>
        <w:t xml:space="preserve">27</w:t>
      </w:r>
      <w:r>
        <w:t xml:space="preserve">P</w:t>
      </w:r>
      <w:r>
        <w:rPr>
          <w:vertAlign w:val="subscript"/>
        </w:rPr>
        <w:t xml:space="preserve">5</w:t>
      </w:r>
      <w:r>
        <w:t xml:space="preserve">S</w:t>
      </w:r>
      <w:r>
        <w:rPr>
          <w:vertAlign w:val="subscript"/>
        </w:rPr>
        <w:t xml:space="preserve">22</w:t>
      </w:r>
      <w:r>
        <w:t xml:space="preserve">Cl</w:t>
      </w:r>
      <w:r>
        <w:rPr>
          <w:vertAlign w:val="subscript"/>
        </w:rPr>
        <w:t xml:space="preserve">8</w:t>
      </w:r>
      <w:r>
        <w:t xml:space="preserve">), O-LPSC</w:t>
      </w:r>
      <w:r>
        <w:rPr>
          <w:vertAlign w:val="subscript"/>
        </w:rPr>
        <w:t xml:space="preserve">1.6</w:t>
      </w:r>
      <w:r>
        <w:t xml:space="preserve"> (Li</w:t>
      </w:r>
      <w:r>
        <w:rPr>
          <w:vertAlign w:val="subscript"/>
        </w:rPr>
        <w:t xml:space="preserve">27</w:t>
      </w:r>
      <w:r>
        <w:t xml:space="preserve">P</w:t>
      </w:r>
      <w:r>
        <w:rPr>
          <w:vertAlign w:val="subscript"/>
        </w:rPr>
        <w:t xml:space="preserve">5</w:t>
      </w:r>
      <w:r>
        <w:t xml:space="preserve">S</w:t>
      </w:r>
      <w:r>
        <w:rPr>
          <w:vertAlign w:val="subscript"/>
        </w:rPr>
        <w:t xml:space="preserve">21</w:t>
      </w:r>
      <w:r>
        <w:t xml:space="preserve">OCl</w:t>
      </w:r>
      <w:r>
        <w:rPr>
          <w:vertAlign w:val="subscript"/>
        </w:rPr>
        <w:t xml:space="preserve">8</w:t>
      </w:r>
      <w:r>
        <w:t xml:space="preserve">), and BO-LPSC</w:t>
      </w:r>
      <w:r>
        <w:rPr>
          <w:vertAlign w:val="subscript"/>
        </w:rPr>
        <w:t xml:space="preserve">1.6</w:t>
      </w:r>
      <w:r>
        <w:t xml:space="preserve"> (Li</w:t>
      </w:r>
      <w:r>
        <w:rPr>
          <w:vertAlign w:val="subscript"/>
        </w:rPr>
        <w:t xml:space="preserve">58</w:t>
      </w:r>
      <w:r>
        <w:t xml:space="preserve">P</w:t>
      </w:r>
      <w:r>
        <w:rPr>
          <w:vertAlign w:val="subscript"/>
        </w:rPr>
        <w:t xml:space="preserve">8</w:t>
      </w:r>
      <w:r>
        <w:t xml:space="preserve">B</w:t>
      </w:r>
      <w:r>
        <w:rPr>
          <w:vertAlign w:val="subscript"/>
        </w:rPr>
        <w:t xml:space="preserve">2</w:t>
      </w:r>
      <w:r>
        <w:t xml:space="preserve">S</w:t>
      </w:r>
      <w:r>
        <w:rPr>
          <w:vertAlign w:val="subscript"/>
        </w:rPr>
        <w:t xml:space="preserve">41</w:t>
      </w:r>
      <w:r>
        <w:t xml:space="preserve">O</w:t>
      </w:r>
      <w:r>
        <w:rPr>
          <w:vertAlign w:val="subscript"/>
        </w:rPr>
        <w:t xml:space="preserve">3</w:t>
      </w:r>
      <w:r>
        <w:t xml:space="preserve">Cl</w:t>
      </w:r>
      <w:r>
        <w:rPr>
          <w:vertAlign w:val="subscript"/>
        </w:rPr>
        <w:t xml:space="preserve">16</w:t>
      </w:r>
      <w:r>
        <w:t xml:space="preserve">; one B</w:t>
      </w:r>
      <w:r>
        <w:rPr>
          <w:vertAlign w:val="subscript"/>
        </w:rPr>
        <w:t xml:space="preserve">2</w:t>
      </w:r>
      <w:r>
        <w:t xml:space="preserve">O</w:t>
      </w:r>
      <w:r>
        <w:rPr>
          <w:vertAlign w:val="subscript"/>
        </w:rPr>
        <w:t xml:space="preserve">3</w:t>
      </w:r>
      <w:r>
        <w:t xml:space="preserve"> unit in a 1 × 1 × 2 LPSC</w:t>
      </w:r>
      <w:r>
        <w:rPr>
          <w:vertAlign w:val="subscript"/>
        </w:rPr>
        <w:t xml:space="preserve">1.6</w:t>
      </w:r>
      <w:r>
        <w:t xml:space="preserve"> supercell). The anion and Li</w:t>
      </w:r>
      <w:r>
        <w:rPr>
          <w:vertAlign w:val="superscript"/>
        </w:rPr>
        <w:t xml:space="preserve">+</w:t>
      </w:r>
      <w:r>
        <w:t xml:space="preserve"> arrangements and the dopant sites were selected with the Universal Model for Atoms (UMA) machine-learning interatomic potential,</w:t>
      </w:r>
      <w:r>
        <w:rPr>
          <w:vertAlign w:val="superscript"/>
        </w:rPr>
        <w:t xml:space="preserve">[10]</w:t>
      </w:r>
      <w:r>
        <w:t xml:space="preserve"> and the O site of BO-LPSC</w:t>
      </w:r>
      <w:r>
        <w:rPr>
          <w:vertAlign w:val="subscript"/>
        </w:rPr>
        <w:t xml:space="preserve">1.6</w:t>
      </w:r>
      <w:r>
        <w:t xml:space="preserve"> was confirmed by DFT. For each model, the ionic positions were relaxed by DFT in isotropically scaled cells, and the energy–volume data were fitted to the third-order Birch–Murnaghan equation of state to obtain the equilibrium volume (</w:t>
      </w:r>
      <w:r>
        <w:rPr>
          <w:i/>
          <w:iCs/>
        </w:rPr>
        <w:t xml:space="preserve">V</w:t>
      </w:r>
      <w:r>
        <w:rPr>
          <w:vertAlign w:val="subscript"/>
        </w:rPr>
        <w:t xml:space="preserve">0</w:t>
      </w:r>
      <w:r>
        <w:t xml:space="preserve">) and bulk modulus (</w:t>
      </w:r>
      <w:r>
        <w:rPr>
          <w:i/>
          <w:iCs/>
        </w:rPr>
        <w:t xml:space="preserve">B</w:t>
      </w:r>
      <w:r>
        <w:rPr>
          <w:vertAlign w:val="subscript"/>
        </w:rPr>
        <w:t xml:space="preserve">0</w:t>
      </w:r>
      <w:r>
        <w:t xml:space="preserve">);</w:t>
      </w:r>
      <w:r>
        <w:rPr>
          <w:vertAlign w:val="superscript"/>
        </w:rPr>
        <w:t xml:space="preserve">[11]</w:t>
      </w:r>
      <w:r>
        <w:t xml:space="preserve"> the structures relaxed at </w:t>
      </w:r>
      <w:r>
        <w:rPr>
          <w:i/>
          <w:iCs/>
        </w:rPr>
        <w:t xml:space="preserve">V</w:t>
      </w:r>
      <w:r>
        <w:rPr>
          <w:vertAlign w:val="subscript"/>
        </w:rPr>
        <w:t xml:space="preserve">0</w:t>
      </w:r>
      <w:r>
        <w:t xml:space="preserve"> were used in all subsequent analyses.</w:t>
      </w:r>
    </w:p>
    <w:p>
      <w:pPr>
        <w:spacing w:after="0" w:line="480" w:lineRule="auto"/>
        <w:ind w:firstLineChars="150" w:firstLine="360"/>
      </w:pPr>
      <w:r>
        <w:t xml:space="preserve">Li</w:t>
      </w:r>
      <w:r>
        <w:rPr>
          <w:vertAlign w:val="superscript"/>
        </w:rPr>
        <w:t xml:space="preserve">+</w:t>
      </w:r>
      <w:r>
        <w:t xml:space="preserve"> transport was simulated by UMA-based molecular dynamics (MD) in the </w:t>
      </w:r>
      <w:r>
        <w:rPr>
          <w:i/>
          <w:iCs/>
        </w:rPr>
        <w:t xml:space="preserve">NVT</w:t>
      </w:r>
      <w:r>
        <w:t xml:space="preserve"> ensemble with a Langevin thermostat (time step 2 fs) at 600, 800, and 1000 K, using the Atomic Simulation Environment;</w:t>
      </w:r>
      <w:r>
        <w:rPr>
          <w:vertAlign w:val="superscript"/>
        </w:rPr>
        <w:t xml:space="preserve">[12]</w:t>
      </w:r>
      <w:r>
        <w:t xml:space="preserve"> each run comprised 5 ps of equilibration and 200 ps of production, and at least three independent runs were performed for each model and temperature. The Li</w:t>
      </w:r>
      <w:r>
        <w:rPr>
          <w:vertAlign w:val="superscript"/>
        </w:rPr>
        <w:t xml:space="preserve">+</w:t>
      </w:r>
      <w:r>
        <w:t xml:space="preserve"> tracer diffusion coefficient (</w:t>
      </w:r>
      <w:r>
        <w:rPr>
          <w:i/>
          <w:iCs/>
        </w:rPr>
        <w:t xml:space="preserve">D</w:t>
      </w:r>
      <w:r>
        <w:t xml:space="preserve">) was obtained from linear fits of the mean square displacement (MSD) over 2–50 ps, the activation energy (</w:t>
      </w:r>
      <w:r>
        <w:rPr>
          <w:i/>
          <w:iCs/>
        </w:rPr>
        <w:t xml:space="preserve">E</w:t>
      </w:r>
      <w:r>
        <w:rPr>
          <w:vertAlign w:val="subscript"/>
        </w:rPr>
        <w:t xml:space="preserve">a</w:t>
      </w:r>
      <w:r>
        <w:t xml:space="preserve">) from an Arrhenius fit of the run-averaged </w:t>
      </w:r>
      <w:r>
        <w:rPr>
          <w:i/>
          <w:iCs/>
        </w:rPr>
        <w:t xml:space="preserve">D</w:t>
      </w:r>
      <w:r>
        <w:t xml:space="preserve">, and the ionic conductivity from the Nernst–Einstein relation with a Haven ratio of 1 and </w:t>
      </w:r>
      <w:r>
        <w:rPr>
          <w:i/>
          <w:iCs/>
        </w:rPr>
        <w:t xml:space="preserve">D</w:t>
      </w:r>
      <w:r>
        <w:t xml:space="preserve"> extrapolated to 273 K (Equations S1–S3 in the Supporting Information). Li</w:t>
      </w:r>
      <w:r>
        <w:rPr>
          <w:vertAlign w:val="superscript"/>
        </w:rPr>
        <w:t xml:space="preserve">+</w:t>
      </w:r>
      <w:r>
        <w:t xml:space="preserve"> migration pathways were mapped with a simplified bond valence site energy (BVSE) approach,</w:t>
      </w:r>
      <w:r>
        <w:rPr>
          <w:vertAlign w:val="superscript"/>
        </w:rPr>
        <w:t xml:space="preserve">[13]</w:t>
      </w:r>
      <w:r>
        <w:t xml:space="preserve"> in which the site energy of a Li</w:t>
      </w:r>
      <w:r>
        <w:rPr>
          <w:vertAlign w:val="superscript"/>
        </w:rPr>
        <w:t xml:space="preserve">+</w:t>
      </w:r>
      <w:r>
        <w:t xml:space="preserve"> probe on a ~0.25 Å grid was approximated by the squared deviation of its bond valence sum from unity (Equation S4); the Li</w:t>
      </w:r>
      <w:r>
        <w:rPr>
          <w:vertAlign w:val="superscript"/>
        </w:rPr>
        <w:t xml:space="preserve">+</w:t>
      </w:r>
      <w:r>
        <w:t xml:space="preserve"> accessible volume fraction was defined as the fraction of grid points within 0.5 (valence units)</w:t>
      </w:r>
      <w:r>
        <w:rPr>
          <w:vertAlign w:val="superscript"/>
        </w:rPr>
        <w:t xml:space="preserve">2</w:t>
      </w:r>
      <w:r>
        <w:t xml:space="preserve"> of the global minimum.</w:t>
      </w:r>
    </w:p>
    <w:p>
      <w:pPr>
        <w:spacing w:after="0" w:line="480" w:lineRule="auto"/>
        <w:ind w:firstLineChars="150" w:firstLine="360"/>
      </w:pPr>
      <w:r>
        <w:t xml:space="preserve">The density of states (DOS) and projected DOS (PDOS) of BO-LPSC</w:t>
      </w:r>
      <w:r>
        <w:rPr>
          <w:vertAlign w:val="subscript"/>
        </w:rPr>
        <w:t xml:space="preserve">1.6</w:t>
      </w:r>
      <w:r>
        <w:t xml:space="preserve"> were calculated with the optimized tetrahedron method,</w:t>
      </w:r>
      <w:r>
        <w:rPr>
          <w:vertAlign w:val="superscript"/>
        </w:rPr>
        <w:t xml:space="preserve">[14]</w:t>
      </w:r>
      <w:r>
        <w:t xml:space="preserve"> with energies referenced to the valence band maximum (VBM) of a fixed-occupation calculation. The electron localization function (ELF)</w:t>
      </w:r>
      <w:r>
        <w:rPr>
          <w:vertAlign w:val="superscript"/>
        </w:rPr>
        <w:t xml:space="preserve">[15]</w:t>
      </w:r>
      <w:r>
        <w:t xml:space="preserve"> was evaluated at the bond midpoints and averaged over each bond type. Crystal orbital Hamilton population (COHP) analysis</w:t>
      </w:r>
      <w:r>
        <w:rPr>
          <w:vertAlign w:val="superscript"/>
        </w:rPr>
        <w:t xml:space="preserve">[16]</w:t>
      </w:r>
      <w:r>
        <w:t xml:space="preserve"> was performed with LOBSTER 5.1.1 on PAW wavefunctions (charge spilling 1.19%),</w:t>
      </w:r>
      <w:r>
        <w:rPr>
          <w:vertAlign w:val="superscript"/>
        </w:rPr>
        <w:t xml:space="preserve">[17,18]</w:t>
      </w:r>
      <w:r>
        <w:t xml:space="preserve"> and the integrated COHP (ICOHP) values up to the Fermi energy were averaged over each bond type. Bond lengths were averaged over first-shell pairs in the </w:t>
      </w:r>
      <w:r>
        <w:rPr>
          <w:i/>
          <w:iCs/>
        </w:rPr>
        <w:t xml:space="preserve">V</w:t>
      </w:r>
      <w:r>
        <w:rPr>
          <w:vertAlign w:val="subscript"/>
        </w:rPr>
        <w:t xml:space="preserve">0</w:t>
      </w:r>
      <w:r>
        <w:t xml:space="preserve"> structures.</w:t>
      </w:r>
    </w:p>
    <w:p>
      <w:pPr>
        <w:spacing w:before="240" w:after="240" w:line="480" w:lineRule="auto"/>
      </w:pPr>
      <w:r>
        <w:rPr>
          <w:i/>
          <w:iCs/>
        </w:rPr>
        <w:t xml:space="preserve">References</w:t>
      </w:r>
    </w:p>
    <w:p>
      <w:pPr>
        <w:tabs>
          <w:tab w:val="left" w:pos="480"/>
        </w:tabs>
        <w:spacing w:after="0" w:line="480" w:lineRule="auto"/>
        <w:ind w:left="480" w:hanging="480"/>
      </w:pPr>
      <w:r>
        <w:t xml:space="preserve">1.</w:t>
      </w:r>
      <w:r>
        <w:tab/>
      </w:r>
      <w:r>
        <w:t xml:space="preserve">P. Giannozzi, S. Baroni, N. Bonini, M. Calandra, R. Car, C. Cavazzoni, D. Ceresoli, G. L. Chiarotti, M. Cococcioni, I. Dabo, A. Dal Corso, S. de Gironcoli, S. Fabris, G. Fratesi, R. Gebauer, U. Gerstmann, C. Gougoussis, A. Kokalj, M. Lazzeri, L. Martin-Samos, N. Marzari, F. Mauri, R. Mazzarello, S. Paolini, A. Pasquarello, L. Paulatto, C. Sbraccia, S. Scandolo, G. Sclauzero, A. P. Seitsonen, A. Smogunov, P. Umari, R. M. Wentzcovitch, </w:t>
      </w:r>
      <w:r>
        <w:rPr>
          <w:i/>
          <w:iCs/>
        </w:rPr>
        <w:t xml:space="preserve">J. Phys.: Condens. Matter</w:t>
      </w:r>
      <w:r>
        <w:t xml:space="preserve"> 2009, </w:t>
      </w:r>
      <w:r>
        <w:rPr>
          <w:i/>
          <w:iCs/>
        </w:rPr>
        <w:t xml:space="preserve">21</w:t>
      </w:r>
      <w:r>
        <w:t xml:space="preserve">, 395502.</w:t>
      </w:r>
    </w:p>
    <w:p>
      <w:pPr>
        <w:tabs>
          <w:tab w:val="left" w:pos="480"/>
        </w:tabs>
        <w:spacing w:after="0" w:line="480" w:lineRule="auto"/>
        <w:ind w:left="480" w:hanging="480"/>
      </w:pPr>
      <w:r>
        <w:t xml:space="preserve">2.</w:t>
      </w:r>
      <w:r>
        <w:tab/>
      </w:r>
      <w:r>
        <w:t xml:space="preserve">P. Giannozzi, O. Andreussi, T. Brumme, O. Bunau, M. Buongiorno Nardelli, M. Calandra, R. Car, C. Cavazzoni, D. Ceresoli, M. Cococcioni, N. Colonna, I. Carnimeo, A. Dal Corso, S. de Gironcoli, P. Delugas, R. A. DiStasio Jr., A. Ferretti, A. Floris, G. Fratesi, G. Fugallo, R. Gebauer, U. Gerstmann, F. Giustino, T. Gorni, J. Jia, M. Kawamura, H.-Y. Ko, A. Kokalj, E. Küçükbenli, M. Lazzeri, M. Marsili, N. Marzari, F. Mauri, N. L. Nguyen, H.-V. Nguyen, A. Otero-de-la-Roza, L. Paulatto, S. Poncé, D. Rocca, R. Sabatini, B. Santra, M. Schlipf, A. P. Seitsonen, A. Smogunov, I. Timrov, T. Thonhauser, P. Umari, N. Vast, X. Wu, S. Baroni, </w:t>
      </w:r>
      <w:r>
        <w:rPr>
          <w:i/>
          <w:iCs/>
        </w:rPr>
        <w:t xml:space="preserve">J. Phys.: Condens. Matter</w:t>
      </w:r>
      <w:r>
        <w:t xml:space="preserve"> 2017, </w:t>
      </w:r>
      <w:r>
        <w:rPr>
          <w:i/>
          <w:iCs/>
        </w:rPr>
        <w:t xml:space="preserve">29</w:t>
      </w:r>
      <w:r>
        <w:t xml:space="preserve">, 465901.</w:t>
      </w:r>
    </w:p>
    <w:p>
      <w:pPr>
        <w:tabs>
          <w:tab w:val="left" w:pos="480"/>
        </w:tabs>
        <w:spacing w:after="0" w:line="480" w:lineRule="auto"/>
        <w:ind w:left="480" w:hanging="480"/>
      </w:pPr>
      <w:r>
        <w:t xml:space="preserve">3.</w:t>
      </w:r>
      <w:r>
        <w:tab/>
      </w:r>
      <w:r>
        <w:t xml:space="preserve">P. Giannozzi, O. Baseggio, P. Bonfà, D. Brunato, R. Car, I. Carnimeo, C. Cavazzoni, S. de Gironcoli, P. Delugas, F. Ferrari Ruffino, A. Ferretti, N. Marzari, I. Timrov, A. Urru, S. Baroni, </w:t>
      </w:r>
      <w:r>
        <w:rPr>
          <w:i/>
          <w:iCs/>
        </w:rPr>
        <w:t xml:space="preserve">J. Chem. Phys.</w:t>
      </w:r>
      <w:r>
        <w:t xml:space="preserve"> 2020, </w:t>
      </w:r>
      <w:r>
        <w:rPr>
          <w:i/>
          <w:iCs/>
        </w:rPr>
        <w:t xml:space="preserve">152</w:t>
      </w:r>
      <w:r>
        <w:t xml:space="preserve">, 154105.</w:t>
      </w:r>
    </w:p>
    <w:p>
      <w:pPr>
        <w:tabs>
          <w:tab w:val="left" w:pos="480"/>
        </w:tabs>
        <w:spacing w:after="0" w:line="480" w:lineRule="auto"/>
        <w:ind w:left="480" w:hanging="480"/>
      </w:pPr>
      <w:r>
        <w:t xml:space="preserve">4.</w:t>
      </w:r>
      <w:r>
        <w:tab/>
      </w:r>
      <w:r>
        <w:t xml:space="preserve">J. P. Perdew, K. Burke, M. Ernzerhof, </w:t>
      </w:r>
      <w:r>
        <w:rPr>
          <w:i/>
          <w:iCs/>
        </w:rPr>
        <w:t xml:space="preserve">Phys. Rev. Lett.</w:t>
      </w:r>
      <w:r>
        <w:t xml:space="preserve"> 1996, </w:t>
      </w:r>
      <w:r>
        <w:rPr>
          <w:i/>
          <w:iCs/>
        </w:rPr>
        <w:t xml:space="preserve">77</w:t>
      </w:r>
      <w:r>
        <w:t xml:space="preserve">, 3865–3868.</w:t>
      </w:r>
    </w:p>
    <w:p>
      <w:pPr>
        <w:tabs>
          <w:tab w:val="left" w:pos="480"/>
        </w:tabs>
        <w:spacing w:after="0" w:line="480" w:lineRule="auto"/>
        <w:ind w:left="480" w:hanging="480"/>
      </w:pPr>
      <w:r>
        <w:t xml:space="preserve">5.</w:t>
      </w:r>
      <w:r>
        <w:tab/>
      </w:r>
      <w:r>
        <w:t xml:space="preserve">G. Prandini, A. Marrazzo, I. E. Castelli, N. Mounet, N. Marzari, </w:t>
      </w:r>
      <w:r>
        <w:rPr>
          <w:i/>
          <w:iCs/>
        </w:rPr>
        <w:t xml:space="preserve">npj Comput. Mater.</w:t>
      </w:r>
      <w:r>
        <w:t xml:space="preserve"> 2018, </w:t>
      </w:r>
      <w:r>
        <w:rPr>
          <w:i/>
          <w:iCs/>
        </w:rPr>
        <w:t xml:space="preserve">4</w:t>
      </w:r>
      <w:r>
        <w:t xml:space="preserve">, 72.</w:t>
      </w:r>
    </w:p>
    <w:p>
      <w:pPr>
        <w:tabs>
          <w:tab w:val="left" w:pos="480"/>
        </w:tabs>
        <w:spacing w:after="0" w:line="480" w:lineRule="auto"/>
        <w:ind w:left="480" w:hanging="480"/>
      </w:pPr>
      <w:r>
        <w:t xml:space="preserve">6.</w:t>
      </w:r>
      <w:r>
        <w:tab/>
      </w:r>
      <w:r>
        <w:t xml:space="preserve">K. F. Garrity, J. W. Bennett, K. M. Rabe, D. Vanderbilt, </w:t>
      </w:r>
      <w:r>
        <w:rPr>
          <w:i/>
          <w:iCs/>
        </w:rPr>
        <w:t xml:space="preserve">Comput. Mater. Sci.</w:t>
      </w:r>
      <w:r>
        <w:t xml:space="preserve"> 2014, </w:t>
      </w:r>
      <w:r>
        <w:rPr>
          <w:i/>
          <w:iCs/>
        </w:rPr>
        <w:t xml:space="preserve">81</w:t>
      </w:r>
      <w:r>
        <w:t xml:space="preserve">, 446–452.</w:t>
      </w:r>
    </w:p>
    <w:p>
      <w:pPr>
        <w:tabs>
          <w:tab w:val="left" w:pos="480"/>
        </w:tabs>
        <w:spacing w:after="0" w:line="480" w:lineRule="auto"/>
        <w:ind w:left="480" w:hanging="480"/>
      </w:pPr>
      <w:r>
        <w:t xml:space="preserve">7.</w:t>
      </w:r>
      <w:r>
        <w:tab/>
      </w:r>
      <w:r>
        <w:t xml:space="preserve">A. Dal Corso, </w:t>
      </w:r>
      <w:r>
        <w:rPr>
          <w:i/>
          <w:iCs/>
        </w:rPr>
        <w:t xml:space="preserve">Comput. Mater. Sci.</w:t>
      </w:r>
      <w:r>
        <w:t xml:space="preserve"> 2014, </w:t>
      </w:r>
      <w:r>
        <w:rPr>
          <w:i/>
          <w:iCs/>
        </w:rPr>
        <w:t xml:space="preserve">95</w:t>
      </w:r>
      <w:r>
        <w:t xml:space="preserve">, 337–350.</w:t>
      </w:r>
    </w:p>
    <w:p>
      <w:pPr>
        <w:tabs>
          <w:tab w:val="left" w:pos="480"/>
        </w:tabs>
        <w:spacing w:after="0" w:line="480" w:lineRule="auto"/>
        <w:ind w:left="480" w:hanging="480"/>
      </w:pPr>
      <w:r>
        <w:t xml:space="preserve">8.</w:t>
      </w:r>
      <w:r>
        <w:tab/>
      </w:r>
      <w:r>
        <w:t xml:space="preserve">H. J. Monkhorst, J. D. Pack, </w:t>
      </w:r>
      <w:r>
        <w:rPr>
          <w:i/>
          <w:iCs/>
        </w:rPr>
        <w:t xml:space="preserve">Phys. Rev. B</w:t>
      </w:r>
      <w:r>
        <w:t xml:space="preserve"> 1976, </w:t>
      </w:r>
      <w:r>
        <w:rPr>
          <w:i/>
          <w:iCs/>
        </w:rPr>
        <w:t xml:space="preserve">13</w:t>
      </w:r>
      <w:r>
        <w:t xml:space="preserve">, 5188–5192.</w:t>
      </w:r>
    </w:p>
    <w:p>
      <w:pPr>
        <w:tabs>
          <w:tab w:val="left" w:pos="480"/>
        </w:tabs>
        <w:spacing w:after="0" w:line="480" w:lineRule="auto"/>
        <w:ind w:left="480" w:hanging="480"/>
      </w:pPr>
      <w:r>
        <w:t xml:space="preserve">9.</w:t>
      </w:r>
      <w:r>
        <w:tab/>
      </w:r>
      <w:r>
        <w:t xml:space="preserve">N. Marzari, D. Vanderbilt, A. De Vita, M. C. Payne, </w:t>
      </w:r>
      <w:r>
        <w:rPr>
          <w:i/>
          <w:iCs/>
        </w:rPr>
        <w:t xml:space="preserve">Phys. Rev. Lett.</w:t>
      </w:r>
      <w:r>
        <w:t xml:space="preserve"> 1999, </w:t>
      </w:r>
      <w:r>
        <w:rPr>
          <w:i/>
          <w:iCs/>
        </w:rPr>
        <w:t xml:space="preserve">82</w:t>
      </w:r>
      <w:r>
        <w:t xml:space="preserve">, 3296–3299.</w:t>
      </w:r>
    </w:p>
    <w:p>
      <w:pPr>
        <w:tabs>
          <w:tab w:val="left" w:pos="480"/>
        </w:tabs>
        <w:spacing w:after="0" w:line="480" w:lineRule="auto"/>
        <w:ind w:left="480" w:hanging="480"/>
      </w:pPr>
      <w:r>
        <w:t xml:space="preserve">10.</w:t>
      </w:r>
      <w:r>
        <w:tab/>
      </w:r>
      <w:r>
        <w:t xml:space="preserve">B. M. Wood, M. Dzamba, X. Fu, M. Gao, M. Shuaibi, L. Barroso-Luque, K. Abdelmaqsoud, V. Gharakhanyan, J. R. Kitchin, D. S. Levine, K. Michel, A. Sriram, T. Cohen, A. Das, A. Rizvi, S. J. Sahoo, Z. W. Ulissi, C. L. Zitnick, </w:t>
      </w:r>
      <w:r>
        <w:rPr>
          <w:i/>
          <w:iCs/>
        </w:rPr>
        <w:t xml:space="preserve">arXiv</w:t>
      </w:r>
      <w:r>
        <w:t xml:space="preserve"> 2025, arXiv:2506.23971.</w:t>
      </w:r>
    </w:p>
    <w:p>
      <w:pPr>
        <w:tabs>
          <w:tab w:val="left" w:pos="480"/>
        </w:tabs>
        <w:spacing w:after="0" w:line="480" w:lineRule="auto"/>
        <w:ind w:left="480" w:hanging="480"/>
      </w:pPr>
      <w:r>
        <w:t xml:space="preserve">11.</w:t>
      </w:r>
      <w:r>
        <w:tab/>
      </w:r>
      <w:r>
        <w:t xml:space="preserve">F. Birch, </w:t>
      </w:r>
      <w:r>
        <w:rPr>
          <w:i/>
          <w:iCs/>
        </w:rPr>
        <w:t xml:space="preserve">Phys. Rev.</w:t>
      </w:r>
      <w:r>
        <w:t xml:space="preserve"> 1947, </w:t>
      </w:r>
      <w:r>
        <w:rPr>
          <w:i/>
          <w:iCs/>
        </w:rPr>
        <w:t xml:space="preserve">71</w:t>
      </w:r>
      <w:r>
        <w:t xml:space="preserve">, 809–824.</w:t>
      </w:r>
    </w:p>
    <w:p>
      <w:pPr>
        <w:tabs>
          <w:tab w:val="left" w:pos="480"/>
        </w:tabs>
        <w:spacing w:after="0" w:line="480" w:lineRule="auto"/>
        <w:ind w:left="480" w:hanging="480"/>
      </w:pPr>
      <w:r>
        <w:t xml:space="preserve">12.</w:t>
      </w:r>
      <w:r>
        <w:tab/>
      </w:r>
      <w:r>
        <w:t xml:space="preserve">A. H. Larsen, J. J. Mortensen, J. Blomqvist, I. E. Castelli, R. Christensen, M. Dułak, J. Friis, M. N. Groves, B. Hammer, C. Hargus, E. D. Hermes, P. C. Jennings, P. B. Jensen, J. Kermode, J. R. Kitchin, E. L. Kolsbjerg, J. Kubal, K. Kaasbjerg, S. Lysgaard, J. B. Maronsson, T. Maxson, T. Olsen, L. Pastewka, A. Peterson, C. Rostgaard, J. Schiøtz, O. Schütt, M. Strange, K. S. Thygesen, T. Vegge, L. Vilhelmsen, M. Walter, Z. Zeng, K. W. Jacobsen, </w:t>
      </w:r>
      <w:r>
        <w:rPr>
          <w:i/>
          <w:iCs/>
        </w:rPr>
        <w:t xml:space="preserve">J. Phys.: Condens. Matter</w:t>
      </w:r>
      <w:r>
        <w:t xml:space="preserve"> 2017, </w:t>
      </w:r>
      <w:r>
        <w:rPr>
          <w:i/>
          <w:iCs/>
        </w:rPr>
        <w:t xml:space="preserve">29</w:t>
      </w:r>
      <w:r>
        <w:t xml:space="preserve">, 273002.</w:t>
      </w:r>
    </w:p>
    <w:p>
      <w:pPr>
        <w:tabs>
          <w:tab w:val="left" w:pos="480"/>
        </w:tabs>
        <w:spacing w:after="0" w:line="480" w:lineRule="auto"/>
        <w:ind w:left="480" w:hanging="480"/>
      </w:pPr>
      <w:r>
        <w:t xml:space="preserve">13.</w:t>
      </w:r>
      <w:r>
        <w:tab/>
      </w:r>
      <w:r>
        <w:t xml:space="preserve">R. P. Rao, S. Adams, </w:t>
      </w:r>
      <w:r>
        <w:rPr>
          <w:i/>
          <w:iCs/>
        </w:rPr>
        <w:t xml:space="preserve">Phys. Status Solidi A</w:t>
      </w:r>
      <w:r>
        <w:t xml:space="preserve"> 2011, </w:t>
      </w:r>
      <w:r>
        <w:rPr>
          <w:i/>
          <w:iCs/>
        </w:rPr>
        <w:t xml:space="preserve">208</w:t>
      </w:r>
      <w:r>
        <w:t xml:space="preserve">, 1804–1807.</w:t>
      </w:r>
    </w:p>
    <w:p>
      <w:pPr>
        <w:tabs>
          <w:tab w:val="left" w:pos="480"/>
        </w:tabs>
        <w:spacing w:after="0" w:line="480" w:lineRule="auto"/>
        <w:ind w:left="480" w:hanging="480"/>
      </w:pPr>
      <w:r>
        <w:t xml:space="preserve">14.</w:t>
      </w:r>
      <w:r>
        <w:tab/>
      </w:r>
      <w:r>
        <w:t xml:space="preserve">M. Kawamura, Y. Gohda, S. Tsuneyuki, </w:t>
      </w:r>
      <w:r>
        <w:rPr>
          <w:i/>
          <w:iCs/>
        </w:rPr>
        <w:t xml:space="preserve">Phys. Rev. B</w:t>
      </w:r>
      <w:r>
        <w:t xml:space="preserve"> 2014, </w:t>
      </w:r>
      <w:r>
        <w:rPr>
          <w:i/>
          <w:iCs/>
        </w:rPr>
        <w:t xml:space="preserve">89</w:t>
      </w:r>
      <w:r>
        <w:t xml:space="preserve">, 094515.</w:t>
      </w:r>
    </w:p>
    <w:p>
      <w:pPr>
        <w:tabs>
          <w:tab w:val="left" w:pos="480"/>
        </w:tabs>
        <w:spacing w:after="0" w:line="480" w:lineRule="auto"/>
        <w:ind w:left="480" w:hanging="480"/>
      </w:pPr>
      <w:r>
        <w:t xml:space="preserve">15.</w:t>
      </w:r>
      <w:r>
        <w:tab/>
      </w:r>
      <w:r>
        <w:t xml:space="preserve">A. D. Becke, K. E. Edgecombe, </w:t>
      </w:r>
      <w:r>
        <w:rPr>
          <w:i/>
          <w:iCs/>
        </w:rPr>
        <w:t xml:space="preserve">J. Chem. Phys.</w:t>
      </w:r>
      <w:r>
        <w:t xml:space="preserve"> 1990, </w:t>
      </w:r>
      <w:r>
        <w:rPr>
          <w:i/>
          <w:iCs/>
        </w:rPr>
        <w:t xml:space="preserve">92</w:t>
      </w:r>
      <w:r>
        <w:t xml:space="preserve">, 5397–5403.</w:t>
      </w:r>
    </w:p>
    <w:p>
      <w:pPr>
        <w:tabs>
          <w:tab w:val="left" w:pos="480"/>
        </w:tabs>
        <w:spacing w:after="0" w:line="480" w:lineRule="auto"/>
        <w:ind w:left="480" w:hanging="480"/>
      </w:pPr>
      <w:r>
        <w:t xml:space="preserve">16.</w:t>
      </w:r>
      <w:r>
        <w:tab/>
      </w:r>
      <w:r>
        <w:t xml:space="preserve">R. Dronskowski, P. E. Blöchl, </w:t>
      </w:r>
      <w:r>
        <w:rPr>
          <w:i/>
          <w:iCs/>
        </w:rPr>
        <w:t xml:space="preserve">J. Phys. Chem.</w:t>
      </w:r>
      <w:r>
        <w:t xml:space="preserve"> 1993, </w:t>
      </w:r>
      <w:r>
        <w:rPr>
          <w:i/>
          <w:iCs/>
        </w:rPr>
        <w:t xml:space="preserve">97</w:t>
      </w:r>
      <w:r>
        <w:t xml:space="preserve">, 8617–8624.</w:t>
      </w:r>
    </w:p>
    <w:p>
      <w:pPr>
        <w:tabs>
          <w:tab w:val="left" w:pos="480"/>
        </w:tabs>
        <w:spacing w:after="0" w:line="480" w:lineRule="auto"/>
        <w:ind w:left="480" w:hanging="480"/>
      </w:pPr>
      <w:r>
        <w:t xml:space="preserve">17.</w:t>
      </w:r>
      <w:r>
        <w:tab/>
      </w:r>
      <w:r>
        <w:t xml:space="preserve">S. Maintz, V. L. Deringer, A. L. Tchougréeff, R. Dronskowski, </w:t>
      </w:r>
      <w:r>
        <w:rPr>
          <w:i/>
          <w:iCs/>
        </w:rPr>
        <w:t xml:space="preserve">J. Comput. Chem.</w:t>
      </w:r>
      <w:r>
        <w:t xml:space="preserve"> 2016, </w:t>
      </w:r>
      <w:r>
        <w:rPr>
          <w:i/>
          <w:iCs/>
        </w:rPr>
        <w:t xml:space="preserve">37</w:t>
      </w:r>
      <w:r>
        <w:t xml:space="preserve">, 1030–1035.</w:t>
      </w:r>
    </w:p>
    <w:p>
      <w:pPr>
        <w:tabs>
          <w:tab w:val="left" w:pos="480"/>
        </w:tabs>
        <w:spacing w:after="0" w:line="480" w:lineRule="auto"/>
        <w:ind w:left="480" w:hanging="480"/>
      </w:pPr>
      <w:r>
        <w:t xml:space="preserve">18.</w:t>
      </w:r>
      <w:r>
        <w:tab/>
      </w:r>
      <w:r>
        <w:t xml:space="preserve">R. Nelson, C. Ertural, J. George, V. L. Deringer, G. Hautier, R. Dronskowski, </w:t>
      </w:r>
      <w:r>
        <w:rPr>
          <w:i/>
          <w:iCs/>
        </w:rPr>
        <w:t xml:space="preserve">J. Comput. Chem.</w:t>
      </w:r>
      <w:r>
        <w:t xml:space="preserve"> 2020, </w:t>
      </w:r>
      <w:r>
        <w:rPr>
          <w:i/>
          <w:iCs/>
        </w:rPr>
        <w:t xml:space="preserve">41</w:t>
      </w:r>
      <w:r>
        <w:t xml:space="preserve">, 1931–1940.</w:t>
      </w:r>
    </w:p>
    <w:sectPr w:rsidR="00C71D8E" w:rsidRPr="00D15B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34"/>
    <w:rsid w:val="00355836"/>
    <w:rsid w:val="00977C40"/>
    <w:rsid w:val="00C71D8E"/>
    <w:rsid w:val="00D15B34"/>
    <w:rsid w:val="00FF76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FDF7"/>
  <w15:chartTrackingRefBased/>
  <w15:docId w15:val="{8D066B1B-066F-4522-8C30-83527923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B34"/>
    <w:pPr>
      <w:widowControl w:val="0"/>
      <w:spacing w:line="259" w:lineRule="auto"/>
    </w:pPr>
    <w:rPr>
      <w:rFonts w:ascii="Times New Roman" w:hAnsi="Times New Roman" w:cs="Times New Roman"/>
      <w:kern w:val="0"/>
      <w:sz w:val="24"/>
      <w:lang w:val="en"/>
      <w14:ligatures w14:val="none"/>
    </w:rPr>
  </w:style>
  <w:style w:type="paragraph" w:styleId="1">
    <w:name w:val="heading 1"/>
    <w:basedOn w:val="a"/>
    <w:next w:val="a"/>
    <w:link w:val="1Char"/>
    <w:uiPriority w:val="9"/>
    <w:qFormat/>
    <w:rsid w:val="00D15B34"/>
    <w:pPr>
      <w:keepNext/>
      <w:keepLines/>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val="en-US"/>
      <w14:ligatures w14:val="standardContextual"/>
    </w:rPr>
  </w:style>
  <w:style w:type="paragraph" w:styleId="2">
    <w:name w:val="heading 2"/>
    <w:basedOn w:val="a"/>
    <w:next w:val="a"/>
    <w:link w:val="2Char"/>
    <w:uiPriority w:val="9"/>
    <w:semiHidden/>
    <w:unhideWhenUsed/>
    <w:qFormat/>
    <w:rsid w:val="00D15B34"/>
    <w:pPr>
      <w:keepNext/>
      <w:keepLines/>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val="en-US"/>
      <w14:ligatures w14:val="standardContextual"/>
    </w:rPr>
  </w:style>
  <w:style w:type="paragraph" w:styleId="3">
    <w:name w:val="heading 3"/>
    <w:basedOn w:val="a"/>
    <w:next w:val="a"/>
    <w:link w:val="3Char"/>
    <w:uiPriority w:val="9"/>
    <w:semiHidden/>
    <w:unhideWhenUsed/>
    <w:qFormat/>
    <w:rsid w:val="00D15B34"/>
    <w:pPr>
      <w:keepNext/>
      <w:keepLines/>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lang w:val="en-US"/>
      <w14:ligatures w14:val="standardContextual"/>
    </w:rPr>
  </w:style>
  <w:style w:type="paragraph" w:styleId="4">
    <w:name w:val="heading 4"/>
    <w:basedOn w:val="a"/>
    <w:next w:val="a"/>
    <w:link w:val="4Char"/>
    <w:uiPriority w:val="9"/>
    <w:semiHidden/>
    <w:unhideWhenUsed/>
    <w:qFormat/>
    <w:rsid w:val="00D15B34"/>
    <w:pPr>
      <w:keepNext/>
      <w:keepLines/>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 w:val="22"/>
      <w:lang w:val="en-US"/>
      <w14:ligatures w14:val="standardContextual"/>
    </w:rPr>
  </w:style>
  <w:style w:type="paragraph" w:styleId="5">
    <w:name w:val="heading 5"/>
    <w:basedOn w:val="a"/>
    <w:next w:val="a"/>
    <w:link w:val="5Char"/>
    <w:uiPriority w:val="9"/>
    <w:semiHidden/>
    <w:unhideWhenUsed/>
    <w:qFormat/>
    <w:rsid w:val="00D15B34"/>
    <w:pPr>
      <w:keepNext/>
      <w:keepLines/>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 w:val="22"/>
      <w:lang w:val="en-US"/>
      <w14:ligatures w14:val="standardContextual"/>
    </w:rPr>
  </w:style>
  <w:style w:type="paragraph" w:styleId="6">
    <w:name w:val="heading 6"/>
    <w:basedOn w:val="a"/>
    <w:next w:val="a"/>
    <w:link w:val="6Char"/>
    <w:uiPriority w:val="9"/>
    <w:semiHidden/>
    <w:unhideWhenUsed/>
    <w:qFormat/>
    <w:rsid w:val="00D15B34"/>
    <w:pPr>
      <w:keepNext/>
      <w:keepLines/>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 w:val="22"/>
      <w:lang w:val="en-US"/>
      <w14:ligatures w14:val="standardContextual"/>
    </w:rPr>
  </w:style>
  <w:style w:type="paragraph" w:styleId="7">
    <w:name w:val="heading 7"/>
    <w:basedOn w:val="a"/>
    <w:next w:val="a"/>
    <w:link w:val="7Char"/>
    <w:uiPriority w:val="9"/>
    <w:semiHidden/>
    <w:unhideWhenUsed/>
    <w:qFormat/>
    <w:rsid w:val="00D15B34"/>
    <w:pPr>
      <w:keepNext/>
      <w:keepLines/>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 w:val="22"/>
      <w:lang w:val="en-US"/>
      <w14:ligatures w14:val="standardContextual"/>
    </w:rPr>
  </w:style>
  <w:style w:type="paragraph" w:styleId="8">
    <w:name w:val="heading 8"/>
    <w:basedOn w:val="a"/>
    <w:next w:val="a"/>
    <w:link w:val="8Char"/>
    <w:uiPriority w:val="9"/>
    <w:semiHidden/>
    <w:unhideWhenUsed/>
    <w:qFormat/>
    <w:rsid w:val="00D15B34"/>
    <w:pPr>
      <w:keepNext/>
      <w:keepLines/>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 w:val="22"/>
      <w:lang w:val="en-US"/>
      <w14:ligatures w14:val="standardContextual"/>
    </w:rPr>
  </w:style>
  <w:style w:type="paragraph" w:styleId="9">
    <w:name w:val="heading 9"/>
    <w:basedOn w:val="a"/>
    <w:next w:val="a"/>
    <w:link w:val="9Char"/>
    <w:uiPriority w:val="9"/>
    <w:semiHidden/>
    <w:unhideWhenUsed/>
    <w:qFormat/>
    <w:rsid w:val="00D15B34"/>
    <w:pPr>
      <w:keepNext/>
      <w:keepLines/>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5B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5B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5B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5B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5B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5B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5B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5B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5B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5B34"/>
    <w:pPr>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제목 Char"/>
    <w:basedOn w:val="a0"/>
    <w:link w:val="a3"/>
    <w:uiPriority w:val="10"/>
    <w:rsid w:val="00D15B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5B34"/>
    <w:pPr>
      <w:numPr>
        <w:ilvl w:val="1"/>
      </w:numPr>
      <w:wordWrap w:val="0"/>
      <w:autoSpaceDE w:val="0"/>
      <w:autoSpaceDN w:val="0"/>
      <w:spacing w:line="240"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Char0">
    <w:name w:val="부제 Char"/>
    <w:basedOn w:val="a0"/>
    <w:link w:val="a4"/>
    <w:uiPriority w:val="11"/>
    <w:rsid w:val="00D15B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5B34"/>
    <w:pPr>
      <w:wordWrap w:val="0"/>
      <w:autoSpaceDE w:val="0"/>
      <w:autoSpaceDN w:val="0"/>
      <w:spacing w:before="160" w:line="240" w:lineRule="auto"/>
      <w:jc w:val="center"/>
    </w:pPr>
    <w:rPr>
      <w:rFonts w:asciiTheme="minorEastAsia" w:hAnsiTheme="minorHAnsi" w:cstheme="minorBidi"/>
      <w:i/>
      <w:iCs/>
      <w:color w:val="404040" w:themeColor="text1" w:themeTint="BF"/>
      <w:kern w:val="2"/>
      <w:sz w:val="22"/>
      <w:lang w:val="en-US"/>
      <w14:ligatures w14:val="standardContextual"/>
    </w:rPr>
  </w:style>
  <w:style w:type="character" w:customStyle="1" w:styleId="Char1">
    <w:name w:val="인용 Char"/>
    <w:basedOn w:val="a0"/>
    <w:link w:val="a5"/>
    <w:uiPriority w:val="29"/>
    <w:rsid w:val="00D15B34"/>
    <w:rPr>
      <w:i/>
      <w:iCs/>
      <w:color w:val="404040" w:themeColor="text1" w:themeTint="BF"/>
    </w:rPr>
  </w:style>
  <w:style w:type="paragraph" w:styleId="a6">
    <w:name w:val="List Paragraph"/>
    <w:basedOn w:val="a"/>
    <w:uiPriority w:val="34"/>
    <w:qFormat/>
    <w:rsid w:val="00D15B34"/>
    <w:pPr>
      <w:wordWrap w:val="0"/>
      <w:autoSpaceDE w:val="0"/>
      <w:autoSpaceDN w:val="0"/>
      <w:spacing w:line="240" w:lineRule="auto"/>
      <w:ind w:left="720"/>
      <w:contextualSpacing/>
    </w:pPr>
    <w:rPr>
      <w:rFonts w:asciiTheme="minorEastAsia" w:hAnsiTheme="minorHAnsi" w:cstheme="minorBidi"/>
      <w:kern w:val="2"/>
      <w:sz w:val="22"/>
      <w:lang w:val="en-US"/>
      <w14:ligatures w14:val="standardContextual"/>
    </w:rPr>
  </w:style>
  <w:style w:type="character" w:styleId="a7">
    <w:name w:val="Intense Emphasis"/>
    <w:basedOn w:val="a0"/>
    <w:uiPriority w:val="21"/>
    <w:qFormat/>
    <w:rsid w:val="00D15B34"/>
    <w:rPr>
      <w:i/>
      <w:iCs/>
      <w:color w:val="0F4761" w:themeColor="accent1" w:themeShade="BF"/>
    </w:rPr>
  </w:style>
  <w:style w:type="paragraph" w:styleId="a8">
    <w:name w:val="Intense Quote"/>
    <w:basedOn w:val="a"/>
    <w:next w:val="a"/>
    <w:link w:val="Char2"/>
    <w:uiPriority w:val="30"/>
    <w:qFormat/>
    <w:rsid w:val="00D15B34"/>
    <w:pPr>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hAnsiTheme="minorHAnsi" w:cstheme="minorBidi"/>
      <w:i/>
      <w:iCs/>
      <w:color w:val="0F4761" w:themeColor="accent1" w:themeShade="BF"/>
      <w:kern w:val="2"/>
      <w:sz w:val="22"/>
      <w:lang w:val="en-US"/>
      <w14:ligatures w14:val="standardContextual"/>
    </w:rPr>
  </w:style>
  <w:style w:type="character" w:customStyle="1" w:styleId="Char2">
    <w:name w:val="강한 인용 Char"/>
    <w:basedOn w:val="a0"/>
    <w:link w:val="a8"/>
    <w:uiPriority w:val="30"/>
    <w:rsid w:val="00D15B34"/>
    <w:rPr>
      <w:i/>
      <w:iCs/>
      <w:color w:val="0F4761" w:themeColor="accent1" w:themeShade="BF"/>
    </w:rPr>
  </w:style>
  <w:style w:type="character" w:styleId="a9">
    <w:name w:val="Intense Reference"/>
    <w:basedOn w:val="a0"/>
    <w:uiPriority w:val="32"/>
    <w:qFormat/>
    <w:rsid w:val="00D15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YEOKYUNG LEE</dc:creator>
  <cp:keywords/>
  <dc:description/>
  <cp:lastModifiedBy>YEOKYUNG LEE</cp:lastModifiedBy>
  <cp:revision>1</cp:revision>
  <dcterms:created xsi:type="dcterms:W3CDTF">2026-10-20T05:28:00Z</dcterms:created>
  <dcterms:modified xsi:type="dcterms:W3CDTF">2026-10-20T05:29:00Z</dcterms:modified>
</cp:coreProperties>
</file>