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회의록 A</w:t>
      </w:r>
    </w:p>
    <w:p>
      <w:r>
        <w:rPr>
          <w:b/>
        </w:rPr>
        <w:t xml:space="preserve">2026년 2분기 석유화학 사업부 영업 리뷰</w:t>
      </w:r>
    </w:p>
    <w:p>
      <w:r>
        <w:t xml:space="preserve"/>
      </w:r>
    </w:p>
    <w:p>
      <w:r>
        <w:t xml:space="preserve">회의명   : 석유화학 사업부 6월 정기 영업 리뷰</w:t>
      </w:r>
    </w:p>
    <w:p>
      <w:r>
        <w:t xml:space="preserve">일시       : 2026년 6월 22일(월) 14:00 ~ 15:30</w:t>
      </w:r>
    </w:p>
    <w:p>
      <w:r>
        <w:t xml:space="preserve">장소       : 본사 3층 대회의실 / 화상 병행</w:t>
      </w:r>
    </w:p>
    <w:p>
      <w:r>
        <w:t xml:space="preserve">작성자   : 영업기획팀 김서연 대리</w:t>
      </w:r>
    </w:p>
    <w:p>
      <w:r>
        <w:t xml:space="preserve">참석자   : 석유화학사업부장(박준호 상무), 영업1팀, 영업2팀, 생산관리팀, 원가기획팀 (총 11명)</w:t>
      </w:r>
    </w:p>
    <w:p>
      <w:r>
        <w:t xml:space="preserve"/>
      </w:r>
    </w:p>
    <w:p>
      <w:pPr>
        <w:pStyle w:val="Heading1"/>
      </w:pPr>
      <w:r>
        <w:t xml:space="preserve">1. 주요 안건</w:t>
      </w:r>
    </w:p>
    <w:p>
      <w:r>
        <w:t xml:space="preserve">• 나프타 국제 단가 상승분의 6월 판가 반영 현황 점검</w:t>
      </w:r>
    </w:p>
    <w:p>
      <w:r>
        <w:t xml:space="preserve">• 에틸렌 수율 개선(NCC 최적화) 진행 경과 공유</w:t>
      </w:r>
    </w:p>
    <w:p>
      <w:r>
        <w:t xml:space="preserve">• 2분기 주요 거래처 물량 및 매출 실적 리뷰</w:t>
      </w:r>
    </w:p>
    <w:p>
      <w:r>
        <w:t xml:space="preserve">• 3분기 판가 협상 전략 수립</w:t>
      </w:r>
    </w:p>
    <w:p>
      <w:r>
        <w:t xml:space="preserve"/>
      </w:r>
    </w:p>
    <w:p>
      <w:pPr>
        <w:pStyle w:val="Heading1"/>
      </w:pPr>
      <w:r>
        <w:t xml:space="preserve">2. 논의 내용</w:t>
      </w:r>
    </w:p>
    <w:p>
      <w:r>
        <w:rPr>
          <w:b/>
        </w:rPr>
        <w:t xml:space="preserve">(1) 나프타 단가 반영</w:t>
      </w:r>
    </w:p>
    <w:p>
      <w:r>
        <w:t xml:space="preserve">• 6월 나프타 평균 도입단가는 전월 대비 톤당 USD 42 상승(MOPJ 기준). 원가 상승분을 6월 셋째 주 출하분부터 판가에 순차 반영 중.</w:t>
      </w:r>
    </w:p>
    <w:p>
      <w:r>
        <w:t xml:space="preserve">• 주요 거래처 중 3개사는 판가 인상에 합의, 2개사는 장기계약 조항으로 7월 반영 예정. 반영 지연분에 대한 마진 손실은 약 1.8억 원으로 추정.</w:t>
      </w:r>
    </w:p>
    <w:p>
      <w:r>
        <w:t xml:space="preserve">• 원가기획팀: 나프타-에틸렌 스프레드가 손익분기점 근접 → 스프레드 축소 구간에서는 고부가 제품 비중 확대 필요.</w:t>
      </w:r>
    </w:p>
    <w:p>
      <w:r>
        <w:rPr>
          <w:b/>
        </w:rPr>
        <w:t xml:space="preserve">(2) 에틸렌 수율 개선</w:t>
      </w:r>
    </w:p>
    <w:p>
      <w:r>
        <w:t xml:space="preserve">• 여수 NCC 분해로 운전조건 최적화로 에틸렌 수율 전월 대비 0.6%p 개선. 연환산 약 6.2억 원 원가 절감 효과 기대.</w:t>
      </w:r>
    </w:p>
    <w:p>
      <w:r>
        <w:t xml:space="preserve">• 생산관리팀: 7월 정기보수 이후 촉매 교체와 병행하여 추가 0.3%p 개선 목표.</w:t>
      </w:r>
    </w:p>
    <w:p>
      <w:r>
        <w:rPr>
          <w:b/>
        </w:rPr>
        <w:t xml:space="preserve">(3) 2분기 실적</w:t>
      </w:r>
    </w:p>
    <w:p>
      <w:r>
        <w:t xml:space="preserve">• 2분기 누계 매출 전년 동기 대비 +7% 달성. 다만 영업이익률은 스프레드 축소로 1.2%p 하락.</w:t>
      </w:r>
    </w:p>
    <w:p>
      <w:r>
        <w:t xml:space="preserve">• 전방 수요는 포장재·자동차용 견조, 건설용 PVC 계열은 약세 지속.</w:t>
      </w:r>
    </w:p>
    <w:p>
      <w:r>
        <w:t xml:space="preserve"/>
      </w:r>
    </w:p>
    <w:p>
      <w:pPr>
        <w:pStyle w:val="Heading1"/>
      </w:pPr>
      <w:r>
        <w:t xml:space="preserve">3. 결정 사항 및 후속 조치</w:t>
      </w:r>
    </w:p>
    <w:p>
      <w:r>
        <w:t xml:space="preserve">• [영업1팀] 7월 반영 예정 2개사와 판가 재협상, 6/30까지 합의안 도출 → 담당: 이정민 과장</w:t>
      </w:r>
    </w:p>
    <w:p>
      <w:r>
        <w:t xml:space="preserve">• [원가기획팀] 고부가 제품 중심 3분기 제품 믹스 시나리오 작성 → 7/3 보고</w:t>
      </w:r>
    </w:p>
    <w:p>
      <w:r>
        <w:t xml:space="preserve">• [생산관리팀] 7월 정기보수 일정 및 촉매 교체 계획 확정 → 6/26 공유</w:t>
      </w:r>
    </w:p>
    <w:p>
      <w:r>
        <w:t xml:space="preserve">• [공통] 다음 영업 리뷰: 2026년 7월 20일(월) 14:00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algun Gothic" w:eastAsia="Malgun Gothic" w:hAnsi="Malgun Gothic"/>
        <w:sz w:val="22"/>
      </w:rPr>
    </w:rPrDefault>
  </w:docDefaults>
  <w:style w:type="paragraph" w:styleId="Title">
    <w:name w:val="Title"/>
    <w:pPr>
      <w:spacing w:after="240"/>
    </w:pPr>
    <w:rPr>
      <w:b/>
      <w:sz w:val="36"/>
    </w:rPr>
  </w:style>
  <w:style w:type="paragraph" w:styleId="Heading1">
    <w:name w:val="heading 1"/>
    <w:pPr>
      <w:spacing w:before="240" w:after="120"/>
      <w:outlineLvl w:val="0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