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EF02" w14:textId="77777777" w:rsidR="008549D8" w:rsidRDefault="008549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93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6946"/>
        <w:gridCol w:w="909"/>
      </w:tblGrid>
      <w:tr w:rsidR="008549D8" w14:paraId="20E48C52" w14:textId="77777777" w:rsidTr="00B606E9">
        <w:trPr>
          <w:jc w:val="center"/>
        </w:trPr>
        <w:tc>
          <w:tcPr>
            <w:tcW w:w="1076" w:type="dxa"/>
          </w:tcPr>
          <w:p w14:paraId="636D0747" w14:textId="77777777" w:rsidR="008549D8" w:rsidRDefault="00FB2DA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4B5F17C4" wp14:editId="1A1F9C23">
                  <wp:extent cx="381000" cy="381000"/>
                  <wp:effectExtent l="0" t="0" r="0" b="0"/>
                  <wp:docPr id="5" name="image1.png" descr="파일:Korea Military Academy Insignia.svg - 위키백과, 우리 모두의 백과사전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파일:Korea Military Academy Insignia.svg - 위키백과, 우리 모두의 백과사전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8BD09D4" w14:textId="215F5CDD" w:rsidR="008549D8" w:rsidRDefault="00553F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Strategic Studies and Defense Analysis</w:t>
            </w:r>
          </w:p>
        </w:tc>
        <w:tc>
          <w:tcPr>
            <w:tcW w:w="909" w:type="dxa"/>
          </w:tcPr>
          <w:p w14:paraId="372EFE74" w14:textId="77777777" w:rsidR="008549D8" w:rsidRDefault="00FB2DAC">
            <w:pPr>
              <w:spacing w:line="36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49B5ADB3" wp14:editId="59D594B3">
                  <wp:extent cx="375515" cy="383258"/>
                  <wp:effectExtent l="0" t="0" r="0" b="0"/>
                  <wp:docPr id="6" name="image2.gif" descr="2022학년도 육군사관학교 면접 내용 미리 알아보기(1탄) : 네이버 블로그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gif" descr="2022학년도 육군사관학교 면접 내용 미리 알아보기(1탄) : 네이버 블로그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15" cy="3832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7FA01" w14:textId="77777777" w:rsidR="008549D8" w:rsidRDefault="00FB2DAC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Course Description</w:t>
      </w:r>
    </w:p>
    <w:tbl>
      <w:tblPr>
        <w:tblStyle w:val="a0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5"/>
        <w:gridCol w:w="10"/>
        <w:gridCol w:w="1470"/>
        <w:gridCol w:w="65"/>
        <w:gridCol w:w="638"/>
        <w:gridCol w:w="673"/>
        <w:gridCol w:w="298"/>
        <w:gridCol w:w="2844"/>
        <w:gridCol w:w="2393"/>
      </w:tblGrid>
      <w:tr w:rsidR="008549D8" w14:paraId="73A28F46" w14:textId="77777777" w:rsidTr="002F4A77">
        <w:trPr>
          <w:trHeight w:val="308"/>
          <w:jc w:val="center"/>
        </w:trPr>
        <w:tc>
          <w:tcPr>
            <w:tcW w:w="1395" w:type="dxa"/>
            <w:gridSpan w:val="2"/>
            <w:shd w:val="clear" w:color="auto" w:fill="C6D9F1"/>
            <w:vAlign w:val="center"/>
          </w:tcPr>
          <w:p w14:paraId="306EFEDC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Country</w:t>
            </w:r>
          </w:p>
        </w:tc>
        <w:tc>
          <w:tcPr>
            <w:tcW w:w="2173" w:type="dxa"/>
            <w:gridSpan w:val="3"/>
            <w:shd w:val="clear" w:color="auto" w:fill="C6D9F1"/>
            <w:vAlign w:val="center"/>
          </w:tcPr>
          <w:p w14:paraId="2D341990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Institution</w:t>
            </w:r>
          </w:p>
        </w:tc>
        <w:tc>
          <w:tcPr>
            <w:tcW w:w="3815" w:type="dxa"/>
            <w:gridSpan w:val="3"/>
            <w:shd w:val="clear" w:color="auto" w:fill="C6D9F1"/>
            <w:vAlign w:val="center"/>
          </w:tcPr>
          <w:p w14:paraId="42C56268" w14:textId="77777777" w:rsidR="008549D8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0"/>
                <w:id w:val="639776156"/>
              </w:sdtPr>
              <w:sdtContent/>
            </w:sdt>
            <w:r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2393" w:type="dxa"/>
            <w:shd w:val="clear" w:color="auto" w:fill="C6D9F1"/>
            <w:vAlign w:val="center"/>
          </w:tcPr>
          <w:p w14:paraId="295D195B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8549D8" w14:paraId="7BACD926" w14:textId="77777777" w:rsidTr="002F4A77">
        <w:trPr>
          <w:trHeight w:val="211"/>
          <w:jc w:val="center"/>
        </w:trPr>
        <w:tc>
          <w:tcPr>
            <w:tcW w:w="1395" w:type="dxa"/>
            <w:gridSpan w:val="2"/>
            <w:vAlign w:val="center"/>
          </w:tcPr>
          <w:p w14:paraId="3E5F5AC1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KOR</w:t>
            </w:r>
          </w:p>
        </w:tc>
        <w:tc>
          <w:tcPr>
            <w:tcW w:w="2173" w:type="dxa"/>
            <w:gridSpan w:val="3"/>
            <w:vAlign w:val="center"/>
          </w:tcPr>
          <w:p w14:paraId="6B296E5C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Korea Military Academy</w:t>
            </w:r>
          </w:p>
        </w:tc>
        <w:tc>
          <w:tcPr>
            <w:tcW w:w="3815" w:type="dxa"/>
            <w:gridSpan w:val="3"/>
            <w:vAlign w:val="center"/>
          </w:tcPr>
          <w:p w14:paraId="2F7BADDE" w14:textId="7848FC1F" w:rsidR="008549D8" w:rsidRDefault="00553FC2" w:rsidP="00553FC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Strategic Studies and Defense Analysis</w:t>
            </w:r>
          </w:p>
        </w:tc>
        <w:tc>
          <w:tcPr>
            <w:tcW w:w="2393" w:type="dxa"/>
            <w:vAlign w:val="center"/>
          </w:tcPr>
          <w:p w14:paraId="36C9ED99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549D8" w14:paraId="41ECBB54" w14:textId="77777777" w:rsidTr="002F4A77">
        <w:trPr>
          <w:trHeight w:val="308"/>
          <w:jc w:val="center"/>
        </w:trPr>
        <w:tc>
          <w:tcPr>
            <w:tcW w:w="1395" w:type="dxa"/>
            <w:gridSpan w:val="2"/>
            <w:shd w:val="clear" w:color="auto" w:fill="C6D9F1"/>
            <w:vAlign w:val="center"/>
          </w:tcPr>
          <w:p w14:paraId="31138D74" w14:textId="77777777" w:rsidR="008549D8" w:rsidRDefault="00FB2DAC" w:rsidP="00A346D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Service</w:t>
            </w:r>
          </w:p>
        </w:tc>
        <w:tc>
          <w:tcPr>
            <w:tcW w:w="8381" w:type="dxa"/>
            <w:gridSpan w:val="7"/>
            <w:vMerge w:val="restart"/>
            <w:vAlign w:val="center"/>
          </w:tcPr>
          <w:p w14:paraId="56265E5A" w14:textId="77777777" w:rsidR="00620D85" w:rsidRPr="00620D85" w:rsidRDefault="00000000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sdt>
              <w:sdtPr>
                <w:tag w:val="goog_rdk_1"/>
                <w:id w:val="1885903249"/>
              </w:sdtPr>
              <w:sdtContent/>
            </w:sdt>
            <w:r>
              <w:rPr>
                <w:rFonts w:ascii="Times New Roman" w:eastAsia="Times New Roman" w:hAnsi="Times New Roman" w:cs="Times New Roman"/>
                <w:b/>
              </w:rPr>
              <w:t>Minimum Qualification of Instructors</w:t>
            </w:r>
          </w:p>
          <w:p w14:paraId="18FE79EA" w14:textId="47BDD0F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Ph. D. in 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Mathematics</w:t>
            </w:r>
            <w:r w:rsidR="0096645C">
              <w:rPr>
                <w:rFonts w:ascii="Times New Roman" w:eastAsiaTheme="minorEastAsia" w:hAnsi="Times New Roman" w:cs="Times New Roman" w:hint="eastAsia"/>
                <w:color w:val="000000"/>
              </w:rPr>
              <w:t xml:space="preserve"> </w:t>
            </w:r>
            <w:r w:rsidR="0096645C">
              <w:rPr>
                <w:rFonts w:ascii="Times New Roman" w:eastAsiaTheme="minorEastAsia" w:hAnsi="Times New Roman" w:cs="Times New Roman" w:hint="eastAsia"/>
                <w:color w:val="000000"/>
              </w:rPr>
              <w:t>or related fields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(Sub-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field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Applied Mathematics or Statistics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7597C9F7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Experience in conducting academic lectures in English</w:t>
            </w:r>
          </w:p>
          <w:p w14:paraId="5B2BFF44" w14:textId="09D47CA0" w:rsidR="002F4A77" w:rsidRPr="002F4A77" w:rsidRDefault="002F4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▪</w:t>
            </w:r>
            <w:r w:rsidR="00A346D1">
              <w:rPr>
                <w:rFonts w:ascii="Calibri" w:eastAsiaTheme="minorEastAsia" w:hAnsi="Calibri" w:cs="Calibri" w:hint="eastAsia"/>
                <w:color w:val="000000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Must be capable of teaching subjects in English</w:t>
            </w:r>
          </w:p>
        </w:tc>
      </w:tr>
      <w:tr w:rsidR="008549D8" w14:paraId="73CBDC9F" w14:textId="77777777" w:rsidTr="002F4A77">
        <w:trPr>
          <w:trHeight w:val="308"/>
          <w:jc w:val="center"/>
        </w:trPr>
        <w:tc>
          <w:tcPr>
            <w:tcW w:w="1395" w:type="dxa"/>
            <w:gridSpan w:val="2"/>
            <w:vAlign w:val="center"/>
          </w:tcPr>
          <w:p w14:paraId="31DB6760" w14:textId="77777777" w:rsidR="008549D8" w:rsidRDefault="00FB2DAC" w:rsidP="00A346D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Army</w:t>
            </w:r>
          </w:p>
        </w:tc>
        <w:tc>
          <w:tcPr>
            <w:tcW w:w="8381" w:type="dxa"/>
            <w:gridSpan w:val="7"/>
            <w:vMerge/>
            <w:vAlign w:val="center"/>
          </w:tcPr>
          <w:p w14:paraId="491989E4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8549D8" w14:paraId="4D14E72F" w14:textId="77777777" w:rsidTr="002F4A77">
        <w:trPr>
          <w:trHeight w:val="294"/>
          <w:jc w:val="center"/>
        </w:trPr>
        <w:tc>
          <w:tcPr>
            <w:tcW w:w="1395" w:type="dxa"/>
            <w:gridSpan w:val="2"/>
            <w:shd w:val="clear" w:color="auto" w:fill="C6D9F1"/>
            <w:vAlign w:val="center"/>
          </w:tcPr>
          <w:p w14:paraId="6EDBB612" w14:textId="77777777" w:rsidR="008549D8" w:rsidRDefault="00FB2DAC" w:rsidP="00A346D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Language</w:t>
            </w:r>
          </w:p>
        </w:tc>
        <w:tc>
          <w:tcPr>
            <w:tcW w:w="8381" w:type="dxa"/>
            <w:gridSpan w:val="7"/>
            <w:vMerge/>
            <w:vAlign w:val="center"/>
          </w:tcPr>
          <w:p w14:paraId="7DE4C98B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8549D8" w14:paraId="3421227C" w14:textId="77777777" w:rsidTr="00A346D1">
        <w:trPr>
          <w:trHeight w:val="53"/>
          <w:jc w:val="center"/>
        </w:trPr>
        <w:tc>
          <w:tcPr>
            <w:tcW w:w="1395" w:type="dxa"/>
            <w:gridSpan w:val="2"/>
            <w:vAlign w:val="center"/>
          </w:tcPr>
          <w:p w14:paraId="35F5E27F" w14:textId="77777777" w:rsidR="008549D8" w:rsidRDefault="00FB2DAC" w:rsidP="00A346D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English</w:t>
            </w:r>
          </w:p>
        </w:tc>
        <w:tc>
          <w:tcPr>
            <w:tcW w:w="8381" w:type="dxa"/>
            <w:gridSpan w:val="7"/>
            <w:vMerge/>
            <w:vAlign w:val="center"/>
          </w:tcPr>
          <w:p w14:paraId="34FEF59C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8549D8" w14:paraId="34BA1983" w14:textId="77777777" w:rsidTr="002F4A77">
        <w:trPr>
          <w:trHeight w:val="285"/>
          <w:jc w:val="center"/>
        </w:trPr>
        <w:tc>
          <w:tcPr>
            <w:tcW w:w="4539" w:type="dxa"/>
            <w:gridSpan w:val="7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7634CD74" w14:textId="77777777" w:rsidR="008549D8" w:rsidRDefault="00000000" w:rsidP="006102A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</w:rPr>
                <w:tag w:val="goog_rdk_2"/>
                <w:id w:val="330486212"/>
              </w:sdtPr>
              <w:sdtContent/>
            </w:sdt>
            <w:r>
              <w:rPr>
                <w:rFonts w:ascii="Times New Roman" w:eastAsia="Times New Roman" w:hAnsi="Times New Roman" w:cs="Times New Roman"/>
                <w:b/>
              </w:rPr>
              <w:t>Prerequisite for International Participants</w:t>
            </w:r>
          </w:p>
        </w:tc>
        <w:tc>
          <w:tcPr>
            <w:tcW w:w="5237" w:type="dxa"/>
            <w:gridSpan w:val="2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62BAD63F" w14:textId="77777777" w:rsidR="008549D8" w:rsidRDefault="00FB2DAC" w:rsidP="006102A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Content of the Course</w:t>
            </w:r>
          </w:p>
        </w:tc>
      </w:tr>
      <w:tr w:rsidR="008549D8" w14:paraId="36B4B735" w14:textId="77777777" w:rsidTr="002F4A77">
        <w:trPr>
          <w:trHeight w:val="1253"/>
          <w:jc w:val="center"/>
        </w:trPr>
        <w:tc>
          <w:tcPr>
            <w:tcW w:w="4539" w:type="dxa"/>
            <w:gridSpan w:val="7"/>
            <w:tcBorders>
              <w:top w:val="single" w:sz="4" w:space="0" w:color="000000"/>
            </w:tcBorders>
            <w:vAlign w:val="center"/>
          </w:tcPr>
          <w:p w14:paraId="62717C45" w14:textId="77777777" w:rsidR="008549D8" w:rsidRPr="00620D85" w:rsidRDefault="00FB2DAC" w:rsidP="0062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▪ </w:t>
            </w:r>
            <w:r>
              <w:rPr>
                <w:rFonts w:ascii="Times New Roman" w:eastAsia="Times New Roman" w:hAnsi="Times New Roman" w:cs="Times New Roman" w:hint="eastAsia"/>
                <w:color w:val="000000"/>
              </w:rPr>
              <w:t>Must be capable of reading academic texts, participating in discussions, and delivering oral presentations in English.</w:t>
            </w:r>
          </w:p>
          <w:p w14:paraId="36B9606C" w14:textId="67FB78CE" w:rsidR="00620D85" w:rsidRPr="00620D85" w:rsidRDefault="00620D85" w:rsidP="0062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▪</w:t>
            </w:r>
            <w:r>
              <w:rPr>
                <w:rFonts w:ascii="Times New Roman" w:eastAsia="Times New Roman" w:hAnsi="Times New Roman" w:cs="Times New Roman" w:hint="eastAsia"/>
                <w:color w:val="000000"/>
              </w:rPr>
              <w:t xml:space="preserve">Prior Knowledge : </w:t>
            </w:r>
            <w:r>
              <w:rPr>
                <w:rFonts w:ascii="Times New Roman" w:hAnsi="Times New Roman" w:cs="Times New Roman"/>
              </w:rPr>
              <w:t>asic knowledge of calculus</w:t>
            </w:r>
          </w:p>
        </w:tc>
        <w:tc>
          <w:tcPr>
            <w:tcW w:w="5237" w:type="dxa"/>
            <w:gridSpan w:val="2"/>
            <w:tcBorders>
              <w:top w:val="single" w:sz="4" w:space="0" w:color="000000"/>
            </w:tcBorders>
            <w:vAlign w:val="center"/>
          </w:tcPr>
          <w:p w14:paraId="00B4E4A8" w14:textId="1AC3EE4C" w:rsidR="008549D8" w:rsidRPr="00A346D1" w:rsidRDefault="00553FC2" w:rsidP="00B60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EastAsia" w:hAnsi="Times New Roman" w:cs="Times New Roman" w:hint="eastAsia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course provides future Army officers with a quantitative framework for military decision-making and combat analysis. Students apply differential equations, probability theory, and operations research to analyze and evaluate combat scenarios.</w:t>
            </w:r>
          </w:p>
        </w:tc>
      </w:tr>
      <w:tr w:rsidR="008549D8" w14:paraId="53944A1B" w14:textId="77777777" w:rsidTr="002F4A77">
        <w:trPr>
          <w:trHeight w:val="410"/>
          <w:jc w:val="center"/>
        </w:trPr>
        <w:tc>
          <w:tcPr>
            <w:tcW w:w="1385" w:type="dxa"/>
            <w:vMerge w:val="restart"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4DE52C3E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14:paraId="6BDF3078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outcomes</w:t>
            </w:r>
          </w:p>
        </w:tc>
        <w:tc>
          <w:tcPr>
            <w:tcW w:w="1545" w:type="dxa"/>
            <w:gridSpan w:val="3"/>
            <w:tcBorders>
              <w:left w:val="single" w:sz="4" w:space="0" w:color="000000"/>
            </w:tcBorders>
            <w:vAlign w:val="center"/>
          </w:tcPr>
          <w:p w14:paraId="6C5365A6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6846" w:type="dxa"/>
            <w:gridSpan w:val="5"/>
            <w:vAlign w:val="center"/>
          </w:tcPr>
          <w:p w14:paraId="725C2214" w14:textId="46894B57" w:rsidR="008549D8" w:rsidRDefault="00EB32E9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Understand fundamental principles of combat modeling and simulation</w:t>
            </w:r>
            <w:r>
              <w:rPr>
                <w:rFonts w:ascii="Times New Roman" w:eastAsia="Times New Roman" w:hAnsi="Times New Roman" w:cs="Times New Roman"/>
              </w:rPr>
              <w:br/>
              <w:t>Apply Lanchester models to evaluate force attrition and battle outcomes</w:t>
            </w:r>
          </w:p>
        </w:tc>
      </w:tr>
      <w:tr w:rsidR="008549D8" w14:paraId="6F428B2B" w14:textId="77777777" w:rsidTr="002F4A77">
        <w:trPr>
          <w:trHeight w:val="410"/>
          <w:jc w:val="center"/>
        </w:trPr>
        <w:tc>
          <w:tcPr>
            <w:tcW w:w="1385" w:type="dxa"/>
            <w:vMerge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7AEBDCED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5" w:type="dxa"/>
            <w:gridSpan w:val="3"/>
            <w:tcBorders>
              <w:left w:val="single" w:sz="4" w:space="0" w:color="000000"/>
            </w:tcBorders>
            <w:vAlign w:val="center"/>
          </w:tcPr>
          <w:p w14:paraId="4587583F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Skills</w:t>
            </w:r>
          </w:p>
        </w:tc>
        <w:tc>
          <w:tcPr>
            <w:tcW w:w="6846" w:type="dxa"/>
            <w:gridSpan w:val="5"/>
            <w:vAlign w:val="center"/>
          </w:tcPr>
          <w:p w14:paraId="7451554E" w14:textId="08AE2C47" w:rsidR="008549D8" w:rsidRDefault="00EB32E9">
            <w:pPr>
              <w:jc w:val="lef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Formulate target detection and Lanchester-type differential equation models</w:t>
            </w:r>
            <w:r>
              <w:rPr>
                <w:rFonts w:ascii="Times New Roman" w:eastAsia="Times New Roman" w:hAnsi="Times New Roman" w:cs="Times New Roman"/>
              </w:rPr>
              <w:br/>
              <w:t>Analyze stochastic combat scenarios using quantitative methods</w:t>
            </w:r>
          </w:p>
        </w:tc>
      </w:tr>
      <w:tr w:rsidR="008549D8" w14:paraId="65F32E4B" w14:textId="77777777" w:rsidTr="002F4A77">
        <w:trPr>
          <w:trHeight w:val="410"/>
          <w:jc w:val="center"/>
        </w:trPr>
        <w:tc>
          <w:tcPr>
            <w:tcW w:w="1385" w:type="dxa"/>
            <w:vMerge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66E1D7F2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45" w:type="dxa"/>
            <w:gridSpan w:val="3"/>
            <w:tcBorders>
              <w:left w:val="single" w:sz="4" w:space="0" w:color="000000"/>
            </w:tcBorders>
            <w:vAlign w:val="center"/>
          </w:tcPr>
          <w:p w14:paraId="01264B57" w14:textId="77777777" w:rsidR="008549D8" w:rsidRDefault="00FB2D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Responsibility and autonomy</w:t>
            </w:r>
          </w:p>
        </w:tc>
        <w:tc>
          <w:tcPr>
            <w:tcW w:w="6846" w:type="dxa"/>
            <w:gridSpan w:val="5"/>
            <w:vAlign w:val="center"/>
          </w:tcPr>
          <w:p w14:paraId="3524F5B7" w14:textId="65D166A8" w:rsidR="008549D8" w:rsidRDefault="00EB32E9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Independently integrate mathematical reasoning into operational planning and apply quantitative tools to support military command decisions</w:t>
            </w:r>
          </w:p>
        </w:tc>
      </w:tr>
      <w:tr w:rsidR="008549D8" w14:paraId="6F882AE2" w14:textId="77777777" w:rsidTr="002F4A77">
        <w:trPr>
          <w:trHeight w:val="308"/>
          <w:jc w:val="center"/>
        </w:trPr>
        <w:tc>
          <w:tcPr>
            <w:tcW w:w="9776" w:type="dxa"/>
            <w:gridSpan w:val="9"/>
            <w:shd w:val="clear" w:color="auto" w:fill="C6D9F1"/>
            <w:vAlign w:val="center"/>
          </w:tcPr>
          <w:p w14:paraId="3D43DD28" w14:textId="77777777" w:rsidR="008549D8" w:rsidRDefault="00FB2DAC" w:rsidP="006102A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Verification of learning outcomes</w:t>
            </w:r>
          </w:p>
        </w:tc>
      </w:tr>
      <w:tr w:rsidR="008549D8" w14:paraId="5E296BA7" w14:textId="77777777" w:rsidTr="002F4A77">
        <w:trPr>
          <w:trHeight w:val="978"/>
          <w:jc w:val="center"/>
        </w:trPr>
        <w:tc>
          <w:tcPr>
            <w:tcW w:w="9776" w:type="dxa"/>
            <w:gridSpan w:val="9"/>
            <w:vAlign w:val="center"/>
          </w:tcPr>
          <w:p w14:paraId="55E21AC2" w14:textId="5D63512C" w:rsidR="008549D8" w:rsidRPr="00EB32E9" w:rsidRDefault="00EB32E9" w:rsidP="00B606E9">
            <w:pPr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course develops students' ability to model dynamic systems and solve differential equations using analytical methods. Learning outcomes are verified through homework assignments 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written midterm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 a written final examination (40%). These assessments evaluate students’ understanding of combat models, proficiency in formulating and solving quantitative problems, and ability to apply mathematical reasoning to operational scenarios.</w:t>
            </w:r>
          </w:p>
        </w:tc>
      </w:tr>
      <w:tr w:rsidR="008549D8" w14:paraId="6F560802" w14:textId="77777777" w:rsidTr="002F4A77">
        <w:trPr>
          <w:trHeight w:val="20"/>
          <w:jc w:val="center"/>
        </w:trPr>
        <w:tc>
          <w:tcPr>
            <w:tcW w:w="9776" w:type="dxa"/>
            <w:gridSpan w:val="9"/>
            <w:shd w:val="clear" w:color="auto" w:fill="C6D9F1"/>
            <w:vAlign w:val="center"/>
          </w:tcPr>
          <w:p w14:paraId="7613C413" w14:textId="77777777" w:rsidR="008549D8" w:rsidRPr="006102A1" w:rsidRDefault="00FB2DAC" w:rsidP="0061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102A1">
              <w:rPr>
                <w:rFonts w:ascii="Times New Roman" w:eastAsia="Times New Roman" w:hAnsi="Times New Roman" w:cs="Times New Roman"/>
                <w:b/>
              </w:rPr>
              <w:t>Course Details</w:t>
            </w:r>
          </w:p>
        </w:tc>
      </w:tr>
      <w:tr w:rsidR="008549D8" w14:paraId="0C9463BF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527E1F59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Main Topic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858574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Hours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5C5D9119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Details</w:t>
            </w:r>
          </w:p>
        </w:tc>
      </w:tr>
      <w:tr w:rsidR="00553FC2" w14:paraId="2F122D3B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33C34CF0" w14:textId="107BA85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Introduction: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B4FA7" w14:textId="34C334E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3DDBA9E9" w14:textId="3FADCD3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Basic mathematical modeling; separable DE; 1</w:t>
            </w:r>
            <w:r>
              <w:rPr>
                <w:rFonts w:ascii="Times New Roman" w:hAnsi="Times New Roman" w:cs="Times New Roman" w:hint="eastAsia"/>
                <w:vertAlign w:val="superscript"/>
              </w:rPr>
              <w:t xml:space="preserve">st </w:t>
            </w:r>
            <w:r>
              <w:rPr>
                <w:rFonts w:ascii="Times New Roman" w:hAnsi="Times New Roman" w:cs="Times New Roman" w:hint="eastAsia"/>
              </w:rPr>
              <w:t>order linear DE</w:t>
            </w:r>
          </w:p>
        </w:tc>
      </w:tr>
      <w:tr w:rsidR="00553FC2" w14:paraId="35C32162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675E0540" w14:textId="642337C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Target Acquisition (1): Simple Search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FC59C5" w14:textId="0478FDF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80C952A" w14:textId="0491FC1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Simple search; detection under uncertainty (2.1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2.2)</w:t>
            </w:r>
          </w:p>
        </w:tc>
      </w:tr>
      <w:tr w:rsidR="00553FC2" w14:paraId="0DB85D74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9E47E20" w14:textId="4513EA34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 xml:space="preserve">Applications </w:t>
            </w:r>
            <w:r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 w:hint="eastAsia"/>
              </w:rPr>
              <w:t xml:space="preserve"> 1</w:t>
            </w:r>
            <w:r>
              <w:rPr>
                <w:rFonts w:ascii="Times New Roman" w:hAnsi="Times New Roman" w:cs="Times New Roman" w:hint="eastAsia"/>
                <w:vertAlign w:val="superscript"/>
              </w:rPr>
              <w:t>st</w:t>
            </w:r>
            <w:r>
              <w:rPr>
                <w:rFonts w:ascii="Times New Roman" w:hAnsi="Times New Roman" w:cs="Times New Roman" w:hint="eastAsia"/>
              </w:rPr>
              <w:t xml:space="preserve"> order DE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C75D13" w14:textId="09A71720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44A9EBC" w14:textId="55B0DF8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Systems of ODEs; Lanchester equations as differential systems</w:t>
            </w:r>
          </w:p>
        </w:tc>
      </w:tr>
      <w:tr w:rsidR="00553FC2" w14:paraId="5224A7D2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74E5E5BB" w14:textId="1CE5482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Target Acquisition (2): Continuous Search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AB38C9" w14:textId="31C9372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6DAE489D" w14:textId="00FC06A4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Intermittent detection; continuous search</w:t>
            </w:r>
            <w:r w:rsidR="00A346D1"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(2.3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2.5)</w:t>
            </w:r>
          </w:p>
        </w:tc>
      </w:tr>
      <w:tr w:rsidR="00553FC2" w14:paraId="20B5A0F8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6346F5A2" w14:textId="0038B0E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Target Acquisition (3): Detection Probability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4A3998" w14:textId="6BD82A21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E904BB8" w14:textId="302EC457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Detection probability in designated areas; Quiz #1 (2.6)</w:t>
            </w:r>
          </w:p>
        </w:tc>
      </w:tr>
      <w:tr w:rsidR="00553FC2" w14:paraId="6E46538B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72ED1CBD" w14:textId="6255A593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Lanchester Deterministic Models (1): Basic Model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7465EA" w14:textId="34534B5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4576812C" w14:textId="5F977FB1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Attrition rates; basic Lanchester combat model (3.1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3.2)</w:t>
            </w:r>
          </w:p>
        </w:tc>
      </w:tr>
      <w:tr w:rsidR="00553FC2" w14:paraId="0D2CF81A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AFFDE2E" w14:textId="1D2DBF0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Lanchester Deterministic Models (2): Area Fire Law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FB46BA" w14:textId="488C36B5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6D53A5E" w14:textId="7D7D5BB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Area fire model (3.3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3.4)</w:t>
            </w:r>
          </w:p>
        </w:tc>
      </w:tr>
      <w:tr w:rsidR="00553FC2" w14:paraId="0910AC8B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136A9A8" w14:textId="0259E49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Lanchester Models (3): Guerrilla &amp; Automatic Weapon Models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174BF3" w14:textId="0FFA32B7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0DC992C8" w14:textId="0182C21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Guerrilla warfare model; automatic weapon fire model and extensions; Quiz #2 (3.4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3.6)</w:t>
            </w:r>
          </w:p>
        </w:tc>
      </w:tr>
      <w:tr w:rsidR="00553FC2" w14:paraId="7514FF39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5FB81893" w14:textId="56B2A9B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Stochastic Combat Models (2): Direct Fire &amp; Area Fire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93B591" w14:textId="08E5A86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21A94050" w14:textId="6439553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Written midterm examination covering target detection and Lanchester models</w:t>
            </w:r>
          </w:p>
        </w:tc>
      </w:tr>
      <w:tr w:rsidR="00553FC2" w14:paraId="5925ED77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41901675" w14:textId="7D63C7F8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Review &amp; Final Examination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BA5DF2" w14:textId="04233E1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3BB2E5C8" w14:textId="07C463A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Review of stochastic models and combined arms models; written final examination</w:t>
            </w:r>
          </w:p>
        </w:tc>
      </w:tr>
      <w:tr w:rsidR="00553FC2" w14:paraId="2E6DEBE6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1F13D6D5" w14:textId="32E8D58D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Midterm Exam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2572BC" w14:textId="4891BC51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52AF6977" w14:textId="4AF039E4" w:rsidR="00553FC2" w:rsidRDefault="00A346D1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 xml:space="preserve">Written </w:t>
            </w:r>
            <w:r>
              <w:rPr>
                <w:rFonts w:ascii="Times New Roman" w:hAnsi="Times New Roman" w:cs="Times New Roman" w:hint="eastAsia"/>
              </w:rPr>
              <w:t>midterm</w:t>
            </w:r>
            <w:r>
              <w:rPr>
                <w:rFonts w:ascii="Times New Roman" w:hAnsi="Times New Roman" w:cs="Times New Roman" w:hint="eastAsia"/>
              </w:rPr>
              <w:t xml:space="preserve"> examination</w:t>
            </w:r>
          </w:p>
        </w:tc>
      </w:tr>
      <w:tr w:rsidR="00553FC2" w14:paraId="2F5D36E3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49FF9F16" w14:textId="1CF5D669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Differential Equations (1)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86E23C" w14:textId="54B8C80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47A2106E" w14:textId="002BBDE2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Sequential combat model(4.1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4.2)</w:t>
            </w:r>
          </w:p>
        </w:tc>
      </w:tr>
      <w:tr w:rsidR="00553FC2" w14:paraId="04F57632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260F5DA9" w14:textId="33A1C960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Differential Equations (2)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88E2E7" w14:textId="1247B970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3C758ED6" w14:textId="292040DF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Continuous stochastic combat models (4.3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4.4)</w:t>
            </w:r>
          </w:p>
        </w:tc>
      </w:tr>
      <w:tr w:rsidR="00553FC2" w14:paraId="79862C40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57C41675" w14:textId="253591A5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Stochastic Combat Models (1): Sequential &amp; Continuous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9E6C7C" w14:textId="79A8B96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0B48CB1" w14:textId="44C5B5C6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Large-unit direct fire model; superiority parameter; combined arms area fire; Quiz #3 (5.1</w:t>
            </w:r>
            <w:r>
              <w:rPr>
                <w:rFonts w:ascii="Times New Roman" w:hAnsi="Times New Roman" w:cs="Times New Roman" w:hint="eastAsia"/>
              </w:rPr>
              <w:t>–</w:t>
            </w:r>
            <w:r>
              <w:rPr>
                <w:rFonts w:ascii="Times New Roman" w:hAnsi="Times New Roman" w:cs="Times New Roman" w:hint="eastAsia"/>
              </w:rPr>
              <w:t>5.3)</w:t>
            </w:r>
          </w:p>
        </w:tc>
      </w:tr>
      <w:tr w:rsidR="00553FC2" w14:paraId="2EF85DA5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vAlign w:val="center"/>
          </w:tcPr>
          <w:p w14:paraId="2B5C9E2B" w14:textId="4B87161B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Final Exam</w:t>
            </w: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2CA879" w14:textId="67020D0A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vAlign w:val="center"/>
          </w:tcPr>
          <w:p w14:paraId="1B47DD10" w14:textId="2C4409A4" w:rsidR="00553FC2" w:rsidRDefault="00553FC2" w:rsidP="00553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Written final examination</w:t>
            </w:r>
          </w:p>
        </w:tc>
      </w:tr>
      <w:tr w:rsidR="008549D8" w14:paraId="2BF42A3C" w14:textId="77777777" w:rsidTr="002F4A77">
        <w:trPr>
          <w:trHeight w:val="20"/>
          <w:jc w:val="center"/>
        </w:trPr>
        <w:tc>
          <w:tcPr>
            <w:tcW w:w="2865" w:type="dxa"/>
            <w:gridSpan w:val="3"/>
            <w:tcBorders>
              <w:right w:val="single" w:sz="4" w:space="0" w:color="000000"/>
            </w:tcBorders>
            <w:shd w:val="clear" w:color="auto" w:fill="C6D9F1"/>
            <w:vAlign w:val="center"/>
          </w:tcPr>
          <w:p w14:paraId="092D4A94" w14:textId="34FE5B00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2992B5C2" w14:textId="77777777" w:rsidR="008549D8" w:rsidRDefault="00FB2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5535" w:type="dxa"/>
            <w:gridSpan w:val="3"/>
            <w:tcBorders>
              <w:left w:val="single" w:sz="4" w:space="0" w:color="000000"/>
            </w:tcBorders>
            <w:shd w:val="clear" w:color="auto" w:fill="C6D9F1"/>
            <w:vAlign w:val="center"/>
          </w:tcPr>
          <w:p w14:paraId="7C538A78" w14:textId="77777777" w:rsidR="008549D8" w:rsidRDefault="00854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1051763" w14:textId="77777777" w:rsidR="008549D8" w:rsidRPr="002F4A77" w:rsidRDefault="008549D8" w:rsidP="00A346D1">
      <w:pPr>
        <w:rPr>
          <w:rFonts w:ascii="Times New Roman" w:eastAsiaTheme="minorEastAsia" w:hAnsi="Times New Roman" w:cs="Times New Roman"/>
          <w:b/>
        </w:rPr>
      </w:pPr>
    </w:p>
    <w:sectPr w:rsidR="008549D8" w:rsidRPr="002F4A77" w:rsidSect="002F4A77">
      <w:pgSz w:w="11906" w:h="16838"/>
      <w:pgMar w:top="720" w:right="720" w:bottom="720" w:left="720" w:header="851" w:footer="99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4CE8" w14:textId="77777777" w:rsidR="0019009D" w:rsidRDefault="0019009D" w:rsidP="00B606E9">
      <w:r>
        <w:separator/>
      </w:r>
    </w:p>
  </w:endnote>
  <w:endnote w:type="continuationSeparator" w:id="0">
    <w:p w14:paraId="17D04CB4" w14:textId="77777777" w:rsidR="0019009D" w:rsidRDefault="0019009D" w:rsidP="00B60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7B34" w14:textId="77777777" w:rsidR="0019009D" w:rsidRDefault="0019009D" w:rsidP="00B606E9">
      <w:r>
        <w:separator/>
      </w:r>
    </w:p>
  </w:footnote>
  <w:footnote w:type="continuationSeparator" w:id="0">
    <w:p w14:paraId="13DBAEE5" w14:textId="77777777" w:rsidR="0019009D" w:rsidRDefault="0019009D" w:rsidP="00B60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778C6"/>
    <w:multiLevelType w:val="multilevel"/>
    <w:tmpl w:val="4F3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D8"/>
    <w:rsid w:val="000E2ED2"/>
    <w:rsid w:val="00156D4D"/>
    <w:rsid w:val="0019009D"/>
    <w:rsid w:val="002344B3"/>
    <w:rsid w:val="002F4A77"/>
    <w:rsid w:val="00553FC2"/>
    <w:rsid w:val="006102A1"/>
    <w:rsid w:val="00620D85"/>
    <w:rsid w:val="006B2212"/>
    <w:rsid w:val="008549D8"/>
    <w:rsid w:val="00882F46"/>
    <w:rsid w:val="0096645C"/>
    <w:rsid w:val="00A346D1"/>
    <w:rsid w:val="00A93056"/>
    <w:rsid w:val="00B606E9"/>
    <w:rsid w:val="00D94F1F"/>
    <w:rsid w:val="00EB32E9"/>
    <w:rsid w:val="00EF48DB"/>
    <w:rsid w:val="00FB2DAC"/>
    <w:rsid w:val="00FD02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513FC"/>
  <w15:docId w15:val="{00CEF952-D92C-44A1-96B4-0082A2E4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CED"/>
    <w:pPr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rsid w:val="00FD02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D02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D02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D02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D02A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D02A3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FD02A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FD02A3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B3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B39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047B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7B39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97171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7171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7171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7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710"/>
    <w:rPr>
      <w:b/>
      <w:bCs/>
    </w:rPr>
  </w:style>
  <w:style w:type="character" w:customStyle="1" w:styleId="fadeinm1hgl8">
    <w:name w:val="_fadein_m1hgl_8"/>
    <w:basedOn w:val="DefaultParagraphFont"/>
    <w:rsid w:val="00CD75F0"/>
  </w:style>
  <w:style w:type="paragraph" w:styleId="NormalWeb">
    <w:name w:val="Normal (Web)"/>
    <w:basedOn w:val="Normal"/>
    <w:uiPriority w:val="99"/>
    <w:semiHidden/>
    <w:unhideWhenUsed/>
    <w:rsid w:val="006730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FD02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FD02A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sid w:val="00FD02A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620D85"/>
    <w:pPr>
      <w:widowControl/>
      <w:jc w:val="left"/>
    </w:pPr>
  </w:style>
  <w:style w:type="paragraph" w:styleId="Header">
    <w:name w:val="header"/>
    <w:basedOn w:val="Normal"/>
    <w:link w:val="HeaderChar"/>
    <w:uiPriority w:val="99"/>
    <w:semiHidden/>
    <w:unhideWhenUsed/>
    <w:rsid w:val="00B606E9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06E9"/>
  </w:style>
  <w:style w:type="paragraph" w:styleId="Footer">
    <w:name w:val="footer"/>
    <w:basedOn w:val="Normal"/>
    <w:link w:val="FooterChar"/>
    <w:uiPriority w:val="99"/>
    <w:semiHidden/>
    <w:unhideWhenUsed/>
    <w:rsid w:val="00B606E9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Kx+/NpxEJAiE9iCpfMUPHKz/A==">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C5AE8C-CBDB-4624-95F5-2E63CF42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Kwon, Yonghyun</cp:lastModifiedBy>
  <cp:revision>6</cp:revision>
  <cp:lastPrinted>2026-04-06T00:06:00Z</cp:lastPrinted>
  <dcterms:created xsi:type="dcterms:W3CDTF">2025-05-18T22:10:00Z</dcterms:created>
  <dcterms:modified xsi:type="dcterms:W3CDTF">2026-04-06T00:06:00Z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8a050f33-eafa-42ca-9666-9d52f26fc712</vt:lpwstr>
  </property>
</Properties>
</file>