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641EE4" w:rsidRPr="00D84870" w14:paraId="4ECC945B" w14:textId="77777777" w:rsidTr="00B6218B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C23956" w14:textId="77777777"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591E942C" w14:textId="77777777" w:rsidR="00641EE4" w:rsidRPr="00D84870" w:rsidRDefault="00641EE4" w:rsidP="00641EE4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527469C" w14:textId="77777777" w:rsidR="00641EE4" w:rsidRDefault="00B6218B" w:rsidP="00641EE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641EE4" w:rsidRPr="00D84870" w14:paraId="549B979D" w14:textId="77777777" w:rsidTr="00B6218B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9643E0E" w14:textId="5C010468"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566013">
              <w:rPr>
                <w:rFonts w:ascii="Arial" w:hAnsi="Arial" w:cs="Arial"/>
                <w:b/>
              </w:rPr>
              <w:t xml:space="preserve">Title 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5AD4E24" w14:textId="77777777" w:rsidR="00641EE4" w:rsidRPr="00560E0C" w:rsidRDefault="00641EE4" w:rsidP="00641EE4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Business Agility</w:t>
            </w:r>
          </w:p>
        </w:tc>
      </w:tr>
      <w:tr w:rsidR="00641EE4" w:rsidRPr="00D84870" w14:paraId="55C498B5" w14:textId="77777777" w:rsidTr="00B6218B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0144862" w14:textId="77777777" w:rsidR="00641EE4" w:rsidRPr="00D84870" w:rsidRDefault="00641EE4" w:rsidP="00641EE4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529DC73" w14:textId="77777777" w:rsidR="00641EE4" w:rsidRPr="00D84870" w:rsidRDefault="00641EE4" w:rsidP="00641EE4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41FB0391" w14:textId="72309540" w:rsidR="00641EE4" w:rsidRPr="00560E0C" w:rsidRDefault="00641EE4" w:rsidP="00641EE4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Organise the business, work activities and people in ways that enable the organisation to readily adapt to changes in its internal or external environment, whilst </w:t>
            </w:r>
            <w:r w:rsidR="00545300">
              <w:rPr>
                <w:rFonts w:ascii="Arial" w:hAnsi="Arial" w:cs="Arial"/>
                <w:lang w:val="en-US"/>
              </w:rPr>
              <w:t xml:space="preserve">achieving </w:t>
            </w:r>
            <w:r>
              <w:rPr>
                <w:rFonts w:ascii="Arial" w:hAnsi="Arial" w:cs="Arial"/>
                <w:lang w:val="en-US"/>
              </w:rPr>
              <w:t>desired outcomes and deliver</w:t>
            </w:r>
            <w:r w:rsidR="00545300">
              <w:rPr>
                <w:rFonts w:ascii="Arial" w:hAnsi="Arial" w:cs="Arial"/>
                <w:lang w:val="en-US"/>
              </w:rPr>
              <w:t>ing</w:t>
            </w:r>
            <w:r>
              <w:rPr>
                <w:rFonts w:ascii="Arial" w:hAnsi="Arial" w:cs="Arial"/>
                <w:lang w:val="en-US"/>
              </w:rPr>
              <w:t xml:space="preserve"> value to customers</w:t>
            </w:r>
          </w:p>
        </w:tc>
      </w:tr>
      <w:tr w:rsidR="00641EE4" w:rsidRPr="00D84870" w14:paraId="20A5D97B" w14:textId="77777777" w:rsidTr="00641EE4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233915" w14:textId="77777777"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D8F5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126E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0796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E8A0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0183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F20E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41EE4" w:rsidRPr="00D84870" w14:paraId="097662C7" w14:textId="77777777" w:rsidTr="00641EE4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9507B9" w14:textId="77777777" w:rsidR="00641EE4" w:rsidRPr="00D84870" w:rsidRDefault="00641EE4" w:rsidP="00641EE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55F4FD" w14:textId="77777777"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A44AE7" w14:textId="77777777"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EDA5437" w14:textId="77777777"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82B8" w14:textId="6004ED67" w:rsidR="00641EE4" w:rsidRPr="00566013" w:rsidRDefault="00566013" w:rsidP="00641E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ICT-BIN-4038-1.1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A449" w14:textId="0269A3BB" w:rsidR="00641EE4" w:rsidRPr="00566013" w:rsidRDefault="00566013" w:rsidP="00641E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ICT-BIN-5038-1.1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5D63" w14:textId="3548A883" w:rsidR="00641EE4" w:rsidRPr="00566013" w:rsidRDefault="00566013" w:rsidP="005660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ICT-BIN-6038-1.1</w:t>
            </w:r>
          </w:p>
        </w:tc>
      </w:tr>
      <w:tr w:rsidR="00641EE4" w:rsidRPr="00D84870" w14:paraId="4E68A591" w14:textId="77777777" w:rsidTr="00641EE4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B82E88" w14:textId="77777777" w:rsidR="00641EE4" w:rsidRPr="00D84870" w:rsidRDefault="00641EE4" w:rsidP="00641EE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DDDE0C3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046C04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B07A65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43D38" w14:textId="77777777" w:rsidR="00641EE4" w:rsidRPr="00560E0C" w:rsidRDefault="00641EE4" w:rsidP="00641EE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the implementation of operational initiatives to enhance business agility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D86F3" w14:textId="77777777" w:rsidR="00641EE4" w:rsidRPr="00560E0C" w:rsidRDefault="00641EE4" w:rsidP="00641EE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 overall processes and create a working environment of business agility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F10E9" w14:textId="77777777" w:rsidR="00641EE4" w:rsidRPr="00C27232" w:rsidRDefault="00641EE4" w:rsidP="00641EE4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Establish policies that enable adaptability and foster a culture of business agility in the organisation</w:t>
            </w:r>
          </w:p>
        </w:tc>
      </w:tr>
      <w:tr w:rsidR="00641EE4" w:rsidRPr="00D84870" w14:paraId="6EB2858E" w14:textId="77777777" w:rsidTr="00641EE4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A48D3C" w14:textId="77777777"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06CAFD4F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4647041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333C11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941279" w14:textId="77777777" w:rsidR="00641EE4" w:rsidRPr="00641EE4" w:rsidRDefault="00641EE4" w:rsidP="00641EE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F956B92" w14:textId="77777777" w:rsidR="00641EE4" w:rsidRPr="00641EE4" w:rsidRDefault="00641EE4" w:rsidP="00641EE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A20D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Methods to analyse current and future business operating landscapes</w:t>
            </w:r>
          </w:p>
          <w:p w14:paraId="50F17050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Methods to analyse current and future customer needs and preferences</w:t>
            </w:r>
          </w:p>
          <w:p w14:paraId="596E919E" w14:textId="77777777" w:rsidR="00641EE4" w:rsidRPr="001F1EA7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policies, processes and standards</w:t>
            </w:r>
          </w:p>
          <w:p w14:paraId="01D5421A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change management methodologies, tools and practices</w:t>
            </w:r>
          </w:p>
          <w:p w14:paraId="6D55A1E7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team composition and formation models</w:t>
            </w:r>
          </w:p>
          <w:p w14:paraId="09311F8C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Values and principles of Agile methodologies</w:t>
            </w:r>
          </w:p>
          <w:p w14:paraId="3C93F562" w14:textId="77777777" w:rsidR="00641EE4" w:rsidRPr="00560E0C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Agile methodologies and practices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7AEF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Design thinking methodologies and models</w:t>
            </w:r>
          </w:p>
          <w:p w14:paraId="1F2DDD7F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structures, frameworks, operating models, processes and standards</w:t>
            </w:r>
          </w:p>
          <w:p w14:paraId="3D970D3B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methodologies, and tools to measure performance, culture and engagement</w:t>
            </w:r>
          </w:p>
          <w:p w14:paraId="66E35DD5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 culture development methodologies, tools and practices</w:t>
            </w:r>
          </w:p>
          <w:p w14:paraId="3B93A692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innovation management methodologies, tools and practices</w:t>
            </w:r>
          </w:p>
          <w:p w14:paraId="2A6A01FC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Value stream mapping frameworks and techniques</w:t>
            </w:r>
          </w:p>
          <w:p w14:paraId="3FDAFD4F" w14:textId="77777777" w:rsidR="00641EE4" w:rsidRPr="00560E0C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Types of Agile performance metrics and measurement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9498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Customer journey models and tools</w:t>
            </w:r>
          </w:p>
          <w:p w14:paraId="2F355D57" w14:textId="1A77CD74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Objective</w:t>
            </w:r>
            <w:r w:rsidR="006651D6">
              <w:rPr>
                <w:rFonts w:ascii="Arial" w:hAnsi="Arial" w:cs="Arial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 xml:space="preserve"> and Key Results (OKR) frameworks</w:t>
            </w:r>
          </w:p>
          <w:p w14:paraId="2D4AAF71" w14:textId="77777777" w:rsidR="00641EE4" w:rsidRPr="008A6B1A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8A6B1A">
              <w:rPr>
                <w:rFonts w:ascii="Arial" w:hAnsi="Arial" w:cs="Arial"/>
                <w:sz w:val="22"/>
              </w:rPr>
              <w:t>Organisation</w:t>
            </w:r>
            <w:r>
              <w:rPr>
                <w:rFonts w:ascii="Arial" w:hAnsi="Arial" w:cs="Arial"/>
                <w:sz w:val="22"/>
              </w:rPr>
              <w:t>al</w:t>
            </w:r>
            <w:r w:rsidRPr="008A6B1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vision and customer </w:t>
            </w:r>
            <w:r w:rsidRPr="008A6B1A">
              <w:rPr>
                <w:rFonts w:ascii="Arial" w:hAnsi="Arial" w:cs="Arial"/>
                <w:sz w:val="22"/>
              </w:rPr>
              <w:t>strategy</w:t>
            </w:r>
          </w:p>
          <w:p w14:paraId="25395DEA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values, mission and vision</w:t>
            </w:r>
          </w:p>
          <w:p w14:paraId="24D4A803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long-term strategies and objectives</w:t>
            </w:r>
          </w:p>
          <w:p w14:paraId="0D3E31F1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workforce capability requirements</w:t>
            </w:r>
          </w:p>
          <w:p w14:paraId="260E9C88" w14:textId="4CDAA738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Industry best practices in terms of workplace culture, Agile</w:t>
            </w:r>
            <w:r w:rsidR="004D4762">
              <w:rPr>
                <w:rFonts w:ascii="Arial" w:hAnsi="Arial" w:cs="Arial"/>
                <w:sz w:val="22"/>
              </w:rPr>
              <w:t xml:space="preserve"> and </w:t>
            </w:r>
            <w:r>
              <w:rPr>
                <w:rFonts w:ascii="Arial" w:hAnsi="Arial" w:cs="Arial"/>
                <w:sz w:val="22"/>
              </w:rPr>
              <w:t>innovation development</w:t>
            </w:r>
          </w:p>
          <w:p w14:paraId="1997C6CE" w14:textId="77777777" w:rsidR="00641EE4" w:rsidRPr="00702AE1" w:rsidRDefault="00641EE4" w:rsidP="00641EE4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Strategic partnership planning and management frameworks and practices</w:t>
            </w:r>
          </w:p>
        </w:tc>
      </w:tr>
      <w:tr w:rsidR="00641EE4" w:rsidRPr="00D84870" w14:paraId="623A2FD4" w14:textId="77777777" w:rsidTr="00641EE4">
        <w:trPr>
          <w:cantSplit/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A85AE" w14:textId="77777777"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7BA75008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CB62B5B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53AA23FD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1338A42" w14:textId="77777777" w:rsidR="00641EE4" w:rsidRPr="00D84870" w:rsidRDefault="00641EE4" w:rsidP="00641EE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14BEEA6" w14:textId="77777777" w:rsidR="00641EE4" w:rsidRPr="00D84870" w:rsidRDefault="00641EE4" w:rsidP="00641EE4">
            <w:pPr>
              <w:rPr>
                <w:rFonts w:ascii="Arial" w:hAnsi="Arial" w:cs="Arial"/>
                <w:b/>
              </w:rPr>
            </w:pPr>
          </w:p>
          <w:p w14:paraId="090F4CFF" w14:textId="77777777" w:rsidR="00641EE4" w:rsidRPr="00D84870" w:rsidRDefault="00641EE4" w:rsidP="00641EE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097B53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CCEAD5" w14:textId="77777777" w:rsidR="00641EE4" w:rsidRPr="00641EE4" w:rsidRDefault="00641EE4" w:rsidP="00641EE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59B263" w14:textId="77777777" w:rsidR="00641EE4" w:rsidRPr="00641EE4" w:rsidRDefault="00641EE4" w:rsidP="00641EE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64F8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Share information actively within and across teams to bridge operational barriers</w:t>
            </w:r>
          </w:p>
          <w:p w14:paraId="67B7523C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Organise work in alignment with operational priorities</w:t>
            </w:r>
          </w:p>
          <w:p w14:paraId="7EDAC752" w14:textId="77777777" w:rsidR="00641EE4" w:rsidRPr="00CF1406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color w:val="000000" w:themeColor="text1"/>
                <w:sz w:val="22"/>
                <w:lang w:val="en-US"/>
              </w:rPr>
            </w:pPr>
            <w:r w:rsidRPr="004A3B48">
              <w:rPr>
                <w:rFonts w:ascii="Arial" w:hAnsi="Arial" w:cs="Arial"/>
                <w:sz w:val="22"/>
                <w:lang w:val="en-US"/>
              </w:rPr>
              <w:t xml:space="preserve">Implement Agile or lean practices to reduce waste and </w:t>
            </w:r>
            <w:r w:rsidRPr="00CF1406">
              <w:rPr>
                <w:rFonts w:ascii="Arial" w:hAnsi="Arial" w:cs="Arial"/>
                <w:color w:val="000000" w:themeColor="text1"/>
                <w:sz w:val="22"/>
                <w:lang w:val="en-US"/>
              </w:rPr>
              <w:t>defects in operating procedures and practices</w:t>
            </w:r>
          </w:p>
          <w:p w14:paraId="2A1D9AD6" w14:textId="77777777" w:rsidR="00641EE4" w:rsidRP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CF1406">
              <w:rPr>
                <w:rFonts w:ascii="Arial" w:hAnsi="Arial" w:cs="Arial"/>
                <w:color w:val="000000" w:themeColor="text1"/>
                <w:sz w:val="22"/>
                <w:lang w:val="en-US"/>
              </w:rPr>
              <w:t>Measure progress against targets for defined business outcomes on a regular basis</w:t>
            </w:r>
          </w:p>
          <w:p w14:paraId="4CC9DBEF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534244">
              <w:rPr>
                <w:rFonts w:ascii="Arial" w:hAnsi="Arial" w:cs="Arial"/>
                <w:sz w:val="22"/>
                <w:lang w:val="en-US"/>
              </w:rPr>
              <w:t>Experiment with new ideas, products or services</w:t>
            </w:r>
          </w:p>
          <w:p w14:paraId="770731A5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Assess work performance and quality to ensure continuous improvement</w:t>
            </w:r>
          </w:p>
          <w:p w14:paraId="6A086E44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Manage individual work responsibilities and take ownership of individual and team outcomes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B131F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Empower localised decision-making in teams to achieve operational priorities</w:t>
            </w:r>
          </w:p>
          <w:p w14:paraId="6C998618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Design operational structures and processes that enable transparency and information sharing to enhance decision-making</w:t>
            </w:r>
          </w:p>
          <w:p w14:paraId="58BA2DE5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Monitor operational effectiveness in alignment with the organisation’s vision and strategic outcomes</w:t>
            </w:r>
          </w:p>
          <w:p w14:paraId="797F88AC" w14:textId="77777777" w:rsidR="00641EE4" w:rsidRPr="00CF1406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Lead </w:t>
            </w:r>
            <w:r w:rsidRPr="004A3B48">
              <w:rPr>
                <w:rFonts w:ascii="Arial" w:hAnsi="Arial" w:cs="Arial"/>
                <w:sz w:val="22"/>
                <w:lang w:val="en-US"/>
              </w:rPr>
              <w:t>the adoption of Agile or lean frameworks, methodologies and tools</w:t>
            </w:r>
            <w:r>
              <w:rPr>
                <w:rFonts w:ascii="Arial" w:hAnsi="Arial" w:cs="Arial"/>
                <w:sz w:val="22"/>
                <w:lang w:val="en-US"/>
              </w:rPr>
              <w:t xml:space="preserve"> that maximise value </w:t>
            </w:r>
            <w:r w:rsidRPr="00CF1406">
              <w:rPr>
                <w:rFonts w:ascii="Arial" w:hAnsi="Arial" w:cs="Arial"/>
                <w:color w:val="000000" w:themeColor="text1"/>
                <w:sz w:val="22"/>
                <w:lang w:val="en-US"/>
              </w:rPr>
              <w:t>creation for customers</w:t>
            </w:r>
          </w:p>
          <w:p w14:paraId="2CAB3090" w14:textId="77777777" w:rsidR="00641EE4" w:rsidRPr="00CF1406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color w:val="000000" w:themeColor="text1"/>
                <w:sz w:val="22"/>
                <w:lang w:val="en-US"/>
              </w:rPr>
            </w:pPr>
            <w:r w:rsidRPr="00CF1406">
              <w:rPr>
                <w:rFonts w:ascii="Arial" w:hAnsi="Arial" w:cs="Arial"/>
                <w:color w:val="000000" w:themeColor="text1"/>
                <w:sz w:val="22"/>
                <w:lang w:val="en-US"/>
              </w:rPr>
              <w:t>Adjust operational plans in a timely manner based on progress against targets for defined business outcomes</w:t>
            </w:r>
          </w:p>
          <w:p w14:paraId="3E72C460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CF1406">
              <w:rPr>
                <w:rFonts w:ascii="Arial" w:hAnsi="Arial" w:cs="Arial"/>
                <w:color w:val="000000" w:themeColor="text1"/>
                <w:sz w:val="22"/>
                <w:lang w:val="en-US"/>
              </w:rPr>
              <w:t xml:space="preserve">Oversee the formation </w:t>
            </w:r>
            <w:r>
              <w:rPr>
                <w:rFonts w:ascii="Arial" w:hAnsi="Arial" w:cs="Arial"/>
                <w:sz w:val="22"/>
                <w:lang w:val="en-US"/>
              </w:rPr>
              <w:t>of dynamic, cross-functional teams that are organised to meet business outcomes</w:t>
            </w:r>
          </w:p>
          <w:p w14:paraId="53E47C54" w14:textId="77777777" w:rsidR="00641EE4" w:rsidRPr="009D1447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9D1447">
              <w:rPr>
                <w:rFonts w:ascii="Arial" w:hAnsi="Arial" w:cs="Arial"/>
                <w:sz w:val="22"/>
                <w:lang w:val="en-US"/>
              </w:rPr>
              <w:t>Guide the experimentation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9D1447">
              <w:rPr>
                <w:rFonts w:ascii="Arial" w:hAnsi="Arial" w:cs="Arial"/>
                <w:sz w:val="22"/>
                <w:lang w:val="en-US"/>
              </w:rPr>
              <w:t>a</w:t>
            </w:r>
            <w:r>
              <w:rPr>
                <w:rFonts w:ascii="Arial" w:hAnsi="Arial" w:cs="Arial"/>
                <w:sz w:val="22"/>
                <w:lang w:val="en-US"/>
              </w:rPr>
              <w:t xml:space="preserve">nd </w:t>
            </w:r>
            <w:r w:rsidRPr="009D1447">
              <w:rPr>
                <w:rFonts w:ascii="Arial" w:hAnsi="Arial" w:cs="Arial"/>
                <w:sz w:val="22"/>
                <w:lang w:val="en-US"/>
              </w:rPr>
              <w:t>development of new ideas, products or services</w:t>
            </w:r>
            <w:r>
              <w:rPr>
                <w:rFonts w:ascii="Arial" w:hAnsi="Arial" w:cs="Arial"/>
                <w:sz w:val="22"/>
                <w:lang w:val="en-US"/>
              </w:rPr>
              <w:t xml:space="preserve"> to encourage learning across teams</w:t>
            </w:r>
          </w:p>
          <w:p w14:paraId="7F827A1A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Develop measures to improve the efficiency and effectiveness of work performance and quality</w:t>
            </w:r>
          </w:p>
          <w:p w14:paraId="4B93449C" w14:textId="0E33C15F" w:rsidR="00641EE4" w:rsidRDefault="00641EE4" w:rsidP="00566013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Manage business outcomes and decision</w:t>
            </w:r>
            <w:r w:rsidR="00566013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making in collaboration with teams across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F69A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Cascade organisational objectives into business outcomes and goals for teams</w:t>
            </w:r>
          </w:p>
          <w:p w14:paraId="24F05B4C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Drive transparency and information sharing across levels and teams</w:t>
            </w:r>
          </w:p>
          <w:p w14:paraId="33EB3512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Establish the organisation’s vision and strategic outcomes in anticipation of changes in the internal or external environment </w:t>
            </w:r>
          </w:p>
          <w:p w14:paraId="615FD1CC" w14:textId="77777777" w:rsidR="00641EE4" w:rsidRPr="00366925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366925">
              <w:rPr>
                <w:rFonts w:ascii="Arial" w:hAnsi="Arial" w:cs="Arial"/>
                <w:sz w:val="22"/>
                <w:lang w:val="en-US"/>
              </w:rPr>
              <w:t xml:space="preserve">Design organisational policies and processes </w:t>
            </w:r>
            <w:r>
              <w:rPr>
                <w:rFonts w:ascii="Arial" w:hAnsi="Arial" w:cs="Arial"/>
                <w:sz w:val="22"/>
                <w:lang w:val="en-US"/>
              </w:rPr>
              <w:t xml:space="preserve">which focus on </w:t>
            </w:r>
            <w:r w:rsidRPr="00366925">
              <w:rPr>
                <w:rFonts w:ascii="Arial" w:hAnsi="Arial" w:cs="Arial"/>
                <w:sz w:val="22"/>
                <w:lang w:val="en-US"/>
              </w:rPr>
              <w:t>customer value creation</w:t>
            </w:r>
          </w:p>
          <w:p w14:paraId="34006C48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Devise funding models for products and services based on business and customer outcomes achieved</w:t>
            </w:r>
          </w:p>
          <w:p w14:paraId="0F46D296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Adapt organisation structures in tandem with customer and market demands</w:t>
            </w:r>
          </w:p>
          <w:p w14:paraId="2B098276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Create a safe environment for learning and experimentation with </w:t>
            </w:r>
            <w:r w:rsidRPr="009D1447">
              <w:rPr>
                <w:rFonts w:ascii="Arial" w:hAnsi="Arial" w:cs="Arial"/>
                <w:sz w:val="22"/>
                <w:lang w:val="en-US"/>
              </w:rPr>
              <w:t>new ideas, products or services</w:t>
            </w:r>
          </w:p>
          <w:p w14:paraId="26DEA4A9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Foster organisational culture of learning and excellence</w:t>
            </w:r>
          </w:p>
          <w:p w14:paraId="465FBF49" w14:textId="77777777" w:rsidR="00641EE4" w:rsidRDefault="00641EE4" w:rsidP="00641EE4">
            <w:pPr>
              <w:pStyle w:val="ListParagraph"/>
              <w:numPr>
                <w:ilvl w:val="0"/>
                <w:numId w:val="2"/>
              </w:numPr>
              <w:spacing w:before="0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Engender buy-in and commitment to the organisation’s strategy</w:t>
            </w:r>
          </w:p>
        </w:tc>
      </w:tr>
      <w:tr w:rsidR="00641EE4" w:rsidRPr="00D84870" w14:paraId="0E54DDBB" w14:textId="77777777" w:rsidTr="00641EE4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49CFD3" w14:textId="77777777"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43B6BC80" w14:textId="77777777"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6A553D" w14:textId="77777777"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68CAF6DE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C9593" w16cid:durableId="21EF97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3C8D7" w14:textId="77777777" w:rsidR="002E0109" w:rsidRDefault="002E0109">
      <w:pPr>
        <w:spacing w:after="0" w:line="240" w:lineRule="auto"/>
      </w:pPr>
      <w:r>
        <w:separator/>
      </w:r>
    </w:p>
  </w:endnote>
  <w:endnote w:type="continuationSeparator" w:id="0">
    <w:p w14:paraId="0D6D1E0B" w14:textId="77777777" w:rsidR="002E0109" w:rsidRDefault="002E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8AF8B" w14:textId="77777777" w:rsidR="00672446" w:rsidRDefault="00A81118" w:rsidP="00672446">
    <w:pPr>
      <w:pStyle w:val="Footer"/>
    </w:pPr>
    <w:r>
      <w:t>©SkillsFuture Singapore and Infocomm Media Development Authority</w:t>
    </w:r>
  </w:p>
  <w:p w14:paraId="48532E9A" w14:textId="753E50DF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566013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566013">
        <w:rPr>
          <w:noProof/>
        </w:rPr>
        <w:t>2</w:t>
      </w:r>
    </w:fldSimple>
  </w:p>
  <w:p w14:paraId="3A2FB23F" w14:textId="77777777" w:rsidR="00AE7701" w:rsidRDefault="002E0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BA8D8" w14:textId="77777777" w:rsidR="002E0109" w:rsidRDefault="002E0109">
      <w:pPr>
        <w:spacing w:after="0" w:line="240" w:lineRule="auto"/>
      </w:pPr>
      <w:r>
        <w:separator/>
      </w:r>
    </w:p>
  </w:footnote>
  <w:footnote w:type="continuationSeparator" w:id="0">
    <w:p w14:paraId="3F504C22" w14:textId="77777777" w:rsidR="002E0109" w:rsidRDefault="002E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BC0D7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843EDAA" wp14:editId="0101431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61F589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09156529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4D687F3" w14:textId="77777777" w:rsidR="00AE7701" w:rsidRDefault="002E0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D5FBA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369B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109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4762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45300"/>
    <w:rsid w:val="005528AA"/>
    <w:rsid w:val="00554808"/>
    <w:rsid w:val="00556EE5"/>
    <w:rsid w:val="00557AAD"/>
    <w:rsid w:val="0056073B"/>
    <w:rsid w:val="0056433A"/>
    <w:rsid w:val="00566013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EE4"/>
    <w:rsid w:val="00642545"/>
    <w:rsid w:val="00642E3A"/>
    <w:rsid w:val="00653582"/>
    <w:rsid w:val="006538B8"/>
    <w:rsid w:val="006651D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785"/>
    <w:rsid w:val="006B4F1E"/>
    <w:rsid w:val="006D30C8"/>
    <w:rsid w:val="006D3E0F"/>
    <w:rsid w:val="006D42C5"/>
    <w:rsid w:val="006E18DC"/>
    <w:rsid w:val="006E281D"/>
    <w:rsid w:val="006E3C8A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286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7F7F09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2F74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3A7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218B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33F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355F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59E94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6B4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13</cp:revision>
  <dcterms:created xsi:type="dcterms:W3CDTF">2020-01-08T14:33:00Z</dcterms:created>
  <dcterms:modified xsi:type="dcterms:W3CDTF">2020-02-28T00:28:00Z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2020-02-13T01:30:13.0389842Z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426d6719-3594-46c7-8749-4dcb979b46f2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2020-02-13T01:30:13.0389842Z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426d6719-3594-46c7-8749-4dcb979b46f2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