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026"/>
        <w:gridCol w:w="3026"/>
        <w:gridCol w:w="3026"/>
        <w:gridCol w:w="3026"/>
        <w:gridCol w:w="3026"/>
        <w:gridCol w:w="3027"/>
      </w:tblGrid>
      <w:tr w:rsidR="000935A6" w14:paraId="0C1C5944" w14:textId="77777777" w:rsidTr="00CD122D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21B4A8" w14:textId="168B5E73" w:rsidR="000935A6" w:rsidRDefault="00666B96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0935A6" w14:paraId="2F3D43BA" w14:textId="77777777" w:rsidTr="00CD122D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041940C" w14:textId="3802F0A3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FD471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3ED93E71" w14:textId="17956ABB" w:rsidR="000935A6" w:rsidRDefault="00331928" w:rsidP="00CD4C18">
            <w:pPr>
              <w:spacing w:before="120" w:after="24"/>
              <w:rPr>
                <w:rFonts w:ascii="Arial" w:hAnsi="Arial" w:cs="Arial"/>
              </w:rPr>
            </w:pPr>
            <w:r w:rsidRPr="00331928">
              <w:rPr>
                <w:rFonts w:ascii="Arial" w:hAnsi="Arial" w:cs="Arial"/>
              </w:rPr>
              <w:t>Business Process Re-engineering</w:t>
            </w:r>
          </w:p>
        </w:tc>
      </w:tr>
      <w:tr w:rsidR="000935A6" w14:paraId="224EE53E" w14:textId="77777777" w:rsidTr="00CD122D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7E807D2B" w14:textId="1B7F9A30" w:rsidR="000935A6" w:rsidRDefault="00331928" w:rsidP="008541C7">
            <w:pPr>
              <w:spacing w:before="120" w:after="24"/>
              <w:rPr>
                <w:rFonts w:ascii="Arial" w:hAnsi="Arial" w:cs="Arial"/>
              </w:rPr>
            </w:pPr>
            <w:r w:rsidRPr="00331928">
              <w:rPr>
                <w:rFonts w:ascii="Arial" w:hAnsi="Arial" w:cs="Arial"/>
              </w:rPr>
              <w:t>Analys</w:t>
            </w:r>
            <w:r w:rsidR="008541C7">
              <w:rPr>
                <w:rFonts w:ascii="Arial" w:hAnsi="Arial" w:cs="Arial"/>
              </w:rPr>
              <w:t>e</w:t>
            </w:r>
            <w:r w:rsidRPr="00331928">
              <w:rPr>
                <w:rFonts w:ascii="Arial" w:hAnsi="Arial" w:cs="Arial"/>
              </w:rPr>
              <w:t xml:space="preserve"> business processes and wo</w:t>
            </w:r>
            <w:r w:rsidR="008541C7">
              <w:rPr>
                <w:rFonts w:ascii="Arial" w:hAnsi="Arial" w:cs="Arial"/>
              </w:rPr>
              <w:t>rkflows within the organisation</w:t>
            </w:r>
            <w:r w:rsidRPr="00331928">
              <w:rPr>
                <w:rFonts w:ascii="Arial" w:hAnsi="Arial" w:cs="Arial"/>
              </w:rPr>
              <w:t xml:space="preserve"> and identification of new approaches to completely redesign business activities or optimise performance, </w:t>
            </w:r>
            <w:r>
              <w:rPr>
                <w:rFonts w:ascii="Arial" w:hAnsi="Arial" w:cs="Arial"/>
              </w:rPr>
              <w:t xml:space="preserve">quality and speed of services or </w:t>
            </w:r>
            <w:r w:rsidRPr="00331928">
              <w:rPr>
                <w:rFonts w:ascii="Arial" w:hAnsi="Arial" w:cs="Arial"/>
              </w:rPr>
              <w:t xml:space="preserve">processes. </w:t>
            </w:r>
            <w:r w:rsidR="008541C7">
              <w:rPr>
                <w:rFonts w:ascii="Arial" w:hAnsi="Arial" w:cs="Arial"/>
              </w:rPr>
              <w:t>This i</w:t>
            </w:r>
            <w:r w:rsidRPr="00331928">
              <w:rPr>
                <w:rFonts w:ascii="Arial" w:hAnsi="Arial" w:cs="Arial"/>
              </w:rPr>
              <w:t xml:space="preserve">ncludes the exploration of </w:t>
            </w:r>
            <w:r>
              <w:rPr>
                <w:rFonts w:ascii="Arial" w:hAnsi="Arial" w:cs="Arial"/>
              </w:rPr>
              <w:t>automating and</w:t>
            </w:r>
            <w:r w:rsidRPr="00331928">
              <w:rPr>
                <w:rFonts w:ascii="Arial" w:hAnsi="Arial" w:cs="Arial"/>
              </w:rPr>
              <w:t xml:space="preserve"> streamlining processes, evaluation of associated costs and benefits of redesigning business processes, as well as the identification of the potential impact and the</w:t>
            </w:r>
            <w:r>
              <w:rPr>
                <w:rFonts w:ascii="Arial" w:hAnsi="Arial" w:cs="Arial"/>
              </w:rPr>
              <w:t xml:space="preserve"> change management activities and </w:t>
            </w:r>
            <w:r w:rsidR="008541C7">
              <w:rPr>
                <w:rFonts w:ascii="Arial" w:hAnsi="Arial" w:cs="Arial"/>
              </w:rPr>
              <w:t>resources required</w:t>
            </w:r>
          </w:p>
        </w:tc>
      </w:tr>
      <w:tr w:rsidR="000935A6" w14:paraId="54DE65D4" w14:textId="77777777" w:rsidTr="00CD122D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DF5285" w14:paraId="49832E25" w14:textId="77777777" w:rsidTr="00CD12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DF5285" w:rsidRDefault="00DF528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3D5B70C8" w:rsidR="00DF5285" w:rsidRDefault="00DF5285" w:rsidP="0040435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78027F0C" w:rsidR="00DF5285" w:rsidRDefault="00DF5285" w:rsidP="00404352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3593" w14:textId="12D0D9C3" w:rsidR="00DF5285" w:rsidRDefault="00DF5285" w:rsidP="00404352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18B1A0C5" w:rsidR="00DF5285" w:rsidRDefault="00046F09" w:rsidP="00046F09">
            <w:pPr>
              <w:jc w:val="center"/>
            </w:pPr>
            <w:r>
              <w:rPr>
                <w:rFonts w:ascii="Arial" w:hAnsi="Arial" w:cs="Arial"/>
                <w:b/>
              </w:rPr>
              <w:t>ICT-SNA-4004-1.1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1A069338" w:rsidR="00DF5285" w:rsidRDefault="00046F09" w:rsidP="00046F09">
            <w:pPr>
              <w:jc w:val="center"/>
            </w:pPr>
            <w:r>
              <w:rPr>
                <w:rFonts w:ascii="Arial" w:hAnsi="Arial" w:cs="Arial"/>
                <w:b/>
              </w:rPr>
              <w:t>ICT-SNA-5004-1.1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B46B3F" w14:textId="3E7BC2A0" w:rsidR="00DF5285" w:rsidRDefault="00DF5285" w:rsidP="00404352">
            <w:pPr>
              <w:jc w:val="center"/>
            </w:pPr>
          </w:p>
        </w:tc>
      </w:tr>
      <w:tr w:rsidR="00DA0410" w14:paraId="6816525C" w14:textId="77777777" w:rsidTr="00CD122D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DA0410" w:rsidRDefault="00DA0410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DA0410" w:rsidRPr="000745AB" w:rsidRDefault="00DA0410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DA0410" w:rsidRPr="000745AB" w:rsidRDefault="00DA0410" w:rsidP="00CD4C1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4D851" w14:textId="5366103A" w:rsidR="00DA0410" w:rsidRPr="000745AB" w:rsidRDefault="00DA0410" w:rsidP="00CD4C1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3E47348C" w:rsidR="00DA0410" w:rsidRPr="000745AB" w:rsidRDefault="00DA0410" w:rsidP="00CD12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business processes and workflows, and develop a busine</w:t>
            </w:r>
            <w:r w:rsidR="00FD4719">
              <w:rPr>
                <w:rFonts w:ascii="Arial" w:hAnsi="Arial" w:cs="Arial"/>
              </w:rPr>
              <w:t>ss process re-engineering plan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02E98F55" w:rsidR="00DA0410" w:rsidRPr="000745AB" w:rsidRDefault="00DA0410" w:rsidP="00CD12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a business process re-engineering strategy, determining the processes to be re-engineered and signific</w:t>
            </w:r>
            <w:r w:rsidR="00FD4719">
              <w:rPr>
                <w:rFonts w:ascii="Arial" w:hAnsi="Arial" w:cs="Arial"/>
              </w:rPr>
              <w:t>antly redefining process flows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32B9FF" w14:textId="2A5AC5B1" w:rsidR="00DA0410" w:rsidRPr="000745AB" w:rsidRDefault="00DA0410" w:rsidP="00753B53">
            <w:pPr>
              <w:spacing w:after="24"/>
              <w:rPr>
                <w:rFonts w:ascii="Arial" w:hAnsi="Arial" w:cs="Arial"/>
              </w:rPr>
            </w:pPr>
          </w:p>
        </w:tc>
      </w:tr>
      <w:tr w:rsidR="00DA0410" w14:paraId="53645E7F" w14:textId="77777777" w:rsidTr="009B0B75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8EB98" w14:textId="52A293EC" w:rsidR="00DA0410" w:rsidRPr="00CD122D" w:rsidRDefault="00DA0410" w:rsidP="00CD122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DA0410" w:rsidRPr="000745AB" w:rsidRDefault="00DA0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DA0410" w:rsidRPr="000745AB" w:rsidRDefault="00DA0410" w:rsidP="00377F3E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60F806" w14:textId="36006164" w:rsidR="00DA0410" w:rsidRPr="000745AB" w:rsidRDefault="00DA0410" w:rsidP="00377F3E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2CD2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analysis and assessment</w:t>
            </w:r>
          </w:p>
          <w:p w14:paraId="56A24BD9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Business process plan development </w:t>
            </w:r>
          </w:p>
          <w:p w14:paraId="4FB71FC7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evaluation and workflow analysis</w:t>
            </w:r>
          </w:p>
          <w:p w14:paraId="48840EC4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Strengths, weaknesses, opportunities and threats (SWOT) analysis</w:t>
            </w:r>
          </w:p>
          <w:p w14:paraId="002EDEC2" w14:textId="0D37581D" w:rsidR="00DA0410" w:rsidRPr="000745AB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Performance standard setting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E2D15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case preparation</w:t>
            </w:r>
          </w:p>
          <w:p w14:paraId="40E40FE1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re-engineering cycle</w:t>
            </w:r>
          </w:p>
          <w:p w14:paraId="2C98907C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creation and re-design</w:t>
            </w:r>
          </w:p>
          <w:p w14:paraId="2000B51D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Change and transition management</w:t>
            </w:r>
          </w:p>
          <w:p w14:paraId="0B8815C0" w14:textId="5630DF71" w:rsidR="00DA0410" w:rsidRPr="000745AB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Principles and techniques in the evaluation of processes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B7271C" w14:textId="775ECF6B" w:rsidR="00DA0410" w:rsidRPr="00CD122D" w:rsidRDefault="00DA0410" w:rsidP="00CD122D">
            <w:pPr>
              <w:rPr>
                <w:rFonts w:ascii="Arial" w:hAnsi="Arial" w:cs="Arial"/>
              </w:rPr>
            </w:pPr>
          </w:p>
        </w:tc>
      </w:tr>
      <w:tr w:rsidR="00DA0410" w14:paraId="01190643" w14:textId="77777777" w:rsidTr="009B0B75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BB347" w14:textId="7EF0BCBA" w:rsidR="00DA0410" w:rsidRDefault="00DA0410" w:rsidP="00CD122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DA0410" w:rsidRPr="000745AB" w:rsidRDefault="00DA0410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DA0410" w:rsidRPr="000745AB" w:rsidRDefault="00DA0410" w:rsidP="00377F3E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D05B6C" w14:textId="31B62C79" w:rsidR="00DA0410" w:rsidRPr="000745AB" w:rsidRDefault="00DA0410" w:rsidP="00377F3E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5475A" w14:textId="4E43EBC4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Evaluate business processes and </w:t>
            </w:r>
            <w:r w:rsidR="00406FD7">
              <w:rPr>
                <w:rFonts w:ascii="Arial" w:hAnsi="Arial" w:cs="Arial"/>
                <w:sz w:val="22"/>
                <w:szCs w:val="22"/>
              </w:rPr>
              <w:t>perform a SWOT analysis</w:t>
            </w:r>
            <w:r>
              <w:rPr>
                <w:rFonts w:ascii="Arial" w:hAnsi="Arial" w:cs="Arial"/>
                <w:sz w:val="22"/>
                <w:szCs w:val="22"/>
              </w:rPr>
              <w:t xml:space="preserve"> of workflows in the organisation</w:t>
            </w:r>
          </w:p>
          <w:p w14:paraId="43C6CA01" w14:textId="6B679A88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suitability of alternative processes and solutions</w:t>
            </w:r>
          </w:p>
          <w:p w14:paraId="6F7E4533" w14:textId="77777777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Drive enhancements and modifications to existing processes, leveraging technology and industry best practices</w:t>
            </w:r>
          </w:p>
          <w:p w14:paraId="28B59EAC" w14:textId="77777777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Draft a business process re-engineering (BPR)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strategy and plan, detailing action steps and impact on various business units and stakeholders</w:t>
            </w:r>
          </w:p>
          <w:p w14:paraId="29D44433" w14:textId="77777777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Detail performance standards for new processes based on BPR plan and goals</w:t>
            </w:r>
          </w:p>
          <w:p w14:paraId="5D3EF5FA" w14:textId="77777777" w:rsidR="00DA0410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implementation and roll-out of BPR strategy accordin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g to the plan, utilising allocated resources</w:t>
            </w:r>
          </w:p>
          <w:p w14:paraId="0D98537D" w14:textId="536F6FA1" w:rsidR="00DA0410" w:rsidRPr="004E7E03" w:rsidRDefault="00DA0410" w:rsidP="00CD122D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 new processes to measure performance levels and impact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9A689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Prioritise processes based on boundaries, stakeholders and strategic importance of each process</w:t>
            </w:r>
          </w:p>
          <w:p w14:paraId="070B80A1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high priority processes to re-engineer considering potential costs and gains to the business</w:t>
            </w:r>
          </w:p>
          <w:p w14:paraId="7D03E1FC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Redefine process flows to yield significant organisational benefits</w:t>
            </w:r>
          </w:p>
          <w:p w14:paraId="071FC699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Establish a business process re-engineering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(BPR) strategy and plan, ensuring clarity of purpose and alignment with business strategy</w:t>
            </w:r>
          </w:p>
          <w:p w14:paraId="0E7C379E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Articulate key goals, objectives and performance indicators to assess success of re-engineered processes </w:t>
            </w:r>
          </w:p>
          <w:p w14:paraId="3CBD9655" w14:textId="77777777" w:rsidR="00DA0410" w:rsidRDefault="00DA0410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allocation of resources for  implementation and process change management activities</w:t>
            </w:r>
          </w:p>
          <w:p w14:paraId="22A9064C" w14:textId="2E56C582" w:rsidR="00DA0410" w:rsidRPr="000745AB" w:rsidRDefault="00406FD7" w:rsidP="00CD122D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DA0410">
              <w:rPr>
                <w:rFonts w:ascii="Arial" w:hAnsi="Arial" w:cs="Arial"/>
                <w:sz w:val="22"/>
                <w:szCs w:val="22"/>
              </w:rPr>
              <w:t xml:space="preserve"> long-term, continuous refinement of internal business processes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6349F5" w14:textId="0B483DF3" w:rsidR="00DA0410" w:rsidRPr="00377F3E" w:rsidRDefault="00DA0410" w:rsidP="00DA0410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B6B" w14:paraId="74D2CF1B" w14:textId="77777777" w:rsidTr="00CD122D">
        <w:trPr>
          <w:trHeight w:val="115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0DF1AC" w14:textId="18967BF0" w:rsidR="00507B6B" w:rsidRDefault="00507B6B" w:rsidP="00CD4C1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Range of Application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EC3C52" w14:textId="42BEFF52" w:rsidR="00507B6B" w:rsidRPr="00377F3E" w:rsidRDefault="00507B6B" w:rsidP="00DA0410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07E87" w14:textId="77777777" w:rsidR="00AA133C" w:rsidRDefault="00AA133C" w:rsidP="006B04D1">
      <w:pPr>
        <w:spacing w:after="0" w:line="240" w:lineRule="auto"/>
      </w:pPr>
      <w:r>
        <w:separator/>
      </w:r>
    </w:p>
  </w:endnote>
  <w:endnote w:type="continuationSeparator" w:id="0">
    <w:p w14:paraId="7E348382" w14:textId="77777777" w:rsidR="00AA133C" w:rsidRDefault="00AA133C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B9190" w14:textId="3462FC49" w:rsidR="00046F09" w:rsidRDefault="00331578" w:rsidP="00046F09">
    <w:pPr>
      <w:pStyle w:val="Footer"/>
    </w:pPr>
    <w:r>
      <w:t>©SkillsFuture Singapore and Infocomm Media Development Authority</w:t>
    </w:r>
  </w:p>
  <w:p w14:paraId="08686D11" w14:textId="1BD95666" w:rsidR="00EF0AEC" w:rsidRDefault="00046F09" w:rsidP="00046F09">
    <w:pPr>
      <w:pStyle w:val="Footer"/>
    </w:pPr>
    <w:r>
      <w:t xml:space="preserve">Effective Date: </w:t>
    </w:r>
    <w:r w:rsidR="00507B6B">
      <w:t>January</w:t>
    </w:r>
    <w:r>
      <w:t xml:space="preserve"> 20</w:t>
    </w:r>
    <w:r w:rsidR="00507B6B">
      <w:t>20, 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CD122D">
      <w:rPr>
        <w:noProof/>
      </w:rPr>
      <w:t>2</w:t>
    </w:r>
    <w:r w:rsidR="00EF0AEC">
      <w:fldChar w:fldCharType="end"/>
    </w:r>
    <w:r w:rsidR="00EF0AEC">
      <w:t xml:space="preserve"> of </w:t>
    </w:r>
    <w:r w:rsidR="00AA133C">
      <w:fldChar w:fldCharType="begin"/>
    </w:r>
    <w:r w:rsidR="00AA133C">
      <w:instrText xml:space="preserve"> NUMPAGES   \* MERGEFORMAT </w:instrText>
    </w:r>
    <w:r w:rsidR="00AA133C">
      <w:fldChar w:fldCharType="separate"/>
    </w:r>
    <w:r w:rsidR="00CD122D">
      <w:rPr>
        <w:noProof/>
      </w:rPr>
      <w:t>2</w:t>
    </w:r>
    <w:r w:rsidR="00AA133C">
      <w:rPr>
        <w:noProof/>
      </w:rPr>
      <w:fldChar w:fldCharType="end"/>
    </w:r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77286" w14:textId="77777777" w:rsidR="00AA133C" w:rsidRDefault="00AA133C" w:rsidP="006B04D1">
      <w:pPr>
        <w:spacing w:after="0" w:line="240" w:lineRule="auto"/>
      </w:pPr>
      <w:r>
        <w:separator/>
      </w:r>
    </w:p>
  </w:footnote>
  <w:footnote w:type="continuationSeparator" w:id="0">
    <w:p w14:paraId="09C7209A" w14:textId="77777777" w:rsidR="00AA133C" w:rsidRDefault="00AA133C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E7A27" w14:textId="3AA1BA8E" w:rsidR="00046F09" w:rsidRDefault="00331578" w:rsidP="00046F09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97EA017" wp14:editId="73B2760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21"/>
  </w:num>
  <w:num w:numId="6">
    <w:abstractNumId w:val="14"/>
  </w:num>
  <w:num w:numId="7">
    <w:abstractNumId w:val="24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2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5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3"/>
  </w:num>
  <w:num w:numId="23">
    <w:abstractNumId w:val="10"/>
  </w:num>
  <w:num w:numId="24">
    <w:abstractNumId w:val="23"/>
  </w:num>
  <w:num w:numId="25">
    <w:abstractNumId w:val="15"/>
  </w:num>
  <w:num w:numId="26">
    <w:abstractNumId w:val="12"/>
  </w:num>
  <w:num w:numId="27">
    <w:abstractNumId w:val="11"/>
  </w:num>
  <w:num w:numId="28">
    <w:abstractNumId w:val="17"/>
  </w:num>
  <w:num w:numId="29">
    <w:abstractNumId w:val="19"/>
  </w:num>
  <w:num w:numId="30">
    <w:abstractNumId w:val="2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146"/>
    <w:rsid w:val="0002311E"/>
    <w:rsid w:val="00046F09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50F8"/>
    <w:rsid w:val="000F6471"/>
    <w:rsid w:val="001078F3"/>
    <w:rsid w:val="001111A3"/>
    <w:rsid w:val="00111CA9"/>
    <w:rsid w:val="001216F5"/>
    <w:rsid w:val="001226BD"/>
    <w:rsid w:val="001275A3"/>
    <w:rsid w:val="00127BAE"/>
    <w:rsid w:val="00155771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209D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44A4"/>
    <w:rsid w:val="003218C6"/>
    <w:rsid w:val="00331578"/>
    <w:rsid w:val="00331928"/>
    <w:rsid w:val="0034372F"/>
    <w:rsid w:val="00354C84"/>
    <w:rsid w:val="00363EDE"/>
    <w:rsid w:val="00371A0E"/>
    <w:rsid w:val="00375AF9"/>
    <w:rsid w:val="00377F3E"/>
    <w:rsid w:val="003852D9"/>
    <w:rsid w:val="00395253"/>
    <w:rsid w:val="003A5DF0"/>
    <w:rsid w:val="003C162F"/>
    <w:rsid w:val="003D1600"/>
    <w:rsid w:val="003F3746"/>
    <w:rsid w:val="003F50AE"/>
    <w:rsid w:val="00406CE7"/>
    <w:rsid w:val="00406FD7"/>
    <w:rsid w:val="00416573"/>
    <w:rsid w:val="004354F6"/>
    <w:rsid w:val="0045525F"/>
    <w:rsid w:val="00460270"/>
    <w:rsid w:val="00461568"/>
    <w:rsid w:val="004636F5"/>
    <w:rsid w:val="00480F94"/>
    <w:rsid w:val="00485264"/>
    <w:rsid w:val="004A3AF7"/>
    <w:rsid w:val="004A7103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07B6B"/>
    <w:rsid w:val="00511CA5"/>
    <w:rsid w:val="00523A3D"/>
    <w:rsid w:val="00527F5C"/>
    <w:rsid w:val="00533B8F"/>
    <w:rsid w:val="0053506D"/>
    <w:rsid w:val="00541966"/>
    <w:rsid w:val="00546F53"/>
    <w:rsid w:val="005832E5"/>
    <w:rsid w:val="005978F4"/>
    <w:rsid w:val="005A0B74"/>
    <w:rsid w:val="005B4CB6"/>
    <w:rsid w:val="005C2756"/>
    <w:rsid w:val="005E4312"/>
    <w:rsid w:val="005F7FD9"/>
    <w:rsid w:val="0066183A"/>
    <w:rsid w:val="00662FEA"/>
    <w:rsid w:val="00664D31"/>
    <w:rsid w:val="00666B96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E60F6"/>
    <w:rsid w:val="007F6A56"/>
    <w:rsid w:val="00802174"/>
    <w:rsid w:val="008046B2"/>
    <w:rsid w:val="00813ADD"/>
    <w:rsid w:val="00846DF4"/>
    <w:rsid w:val="008504A1"/>
    <w:rsid w:val="00852863"/>
    <w:rsid w:val="008541C7"/>
    <w:rsid w:val="00862A70"/>
    <w:rsid w:val="00876E7E"/>
    <w:rsid w:val="00883C94"/>
    <w:rsid w:val="00885E89"/>
    <w:rsid w:val="008933BF"/>
    <w:rsid w:val="008950D7"/>
    <w:rsid w:val="00895CA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3EBA"/>
    <w:rsid w:val="00932FC3"/>
    <w:rsid w:val="00935362"/>
    <w:rsid w:val="0094468E"/>
    <w:rsid w:val="009507C7"/>
    <w:rsid w:val="00951111"/>
    <w:rsid w:val="00951F81"/>
    <w:rsid w:val="00953E6C"/>
    <w:rsid w:val="00964B16"/>
    <w:rsid w:val="00970F33"/>
    <w:rsid w:val="009A53A4"/>
    <w:rsid w:val="009A578B"/>
    <w:rsid w:val="009B0B75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30C35"/>
    <w:rsid w:val="00A51B6E"/>
    <w:rsid w:val="00A666AB"/>
    <w:rsid w:val="00A66D4C"/>
    <w:rsid w:val="00A7267B"/>
    <w:rsid w:val="00A81BDC"/>
    <w:rsid w:val="00A832A5"/>
    <w:rsid w:val="00AA133C"/>
    <w:rsid w:val="00AB6F5D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2286"/>
    <w:rsid w:val="00B1229C"/>
    <w:rsid w:val="00B12D1F"/>
    <w:rsid w:val="00B31EAB"/>
    <w:rsid w:val="00B34A77"/>
    <w:rsid w:val="00B46D73"/>
    <w:rsid w:val="00B661A9"/>
    <w:rsid w:val="00B73733"/>
    <w:rsid w:val="00B73BC3"/>
    <w:rsid w:val="00BA012D"/>
    <w:rsid w:val="00BB4BF2"/>
    <w:rsid w:val="00BC5CF2"/>
    <w:rsid w:val="00BE3500"/>
    <w:rsid w:val="00BF7CF2"/>
    <w:rsid w:val="00C11043"/>
    <w:rsid w:val="00C128F6"/>
    <w:rsid w:val="00C25FC5"/>
    <w:rsid w:val="00C319B9"/>
    <w:rsid w:val="00C35042"/>
    <w:rsid w:val="00C43618"/>
    <w:rsid w:val="00C47770"/>
    <w:rsid w:val="00C51876"/>
    <w:rsid w:val="00C613C6"/>
    <w:rsid w:val="00C64F00"/>
    <w:rsid w:val="00C72BEE"/>
    <w:rsid w:val="00C77F24"/>
    <w:rsid w:val="00C8279F"/>
    <w:rsid w:val="00C937F9"/>
    <w:rsid w:val="00C971D9"/>
    <w:rsid w:val="00CA50F9"/>
    <w:rsid w:val="00CC2257"/>
    <w:rsid w:val="00CD122D"/>
    <w:rsid w:val="00CD4C18"/>
    <w:rsid w:val="00CD52A1"/>
    <w:rsid w:val="00D03368"/>
    <w:rsid w:val="00D04F3A"/>
    <w:rsid w:val="00D054ED"/>
    <w:rsid w:val="00D1059A"/>
    <w:rsid w:val="00D11B4D"/>
    <w:rsid w:val="00D146A0"/>
    <w:rsid w:val="00D46BAC"/>
    <w:rsid w:val="00D54E46"/>
    <w:rsid w:val="00D6069D"/>
    <w:rsid w:val="00D64908"/>
    <w:rsid w:val="00D71BE1"/>
    <w:rsid w:val="00DA0410"/>
    <w:rsid w:val="00DA2D90"/>
    <w:rsid w:val="00DB1F4E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2A41"/>
    <w:rsid w:val="00E5342D"/>
    <w:rsid w:val="00E57585"/>
    <w:rsid w:val="00E62BBB"/>
    <w:rsid w:val="00E749AF"/>
    <w:rsid w:val="00E81E3B"/>
    <w:rsid w:val="00E85D94"/>
    <w:rsid w:val="00E970FE"/>
    <w:rsid w:val="00EA1538"/>
    <w:rsid w:val="00EB2135"/>
    <w:rsid w:val="00EB7662"/>
    <w:rsid w:val="00EF0AEC"/>
    <w:rsid w:val="00F13E0D"/>
    <w:rsid w:val="00F20190"/>
    <w:rsid w:val="00F230B5"/>
    <w:rsid w:val="00F331E1"/>
    <w:rsid w:val="00F33BC2"/>
    <w:rsid w:val="00F37F76"/>
    <w:rsid w:val="00F40FB5"/>
    <w:rsid w:val="00F4179F"/>
    <w:rsid w:val="00F536B7"/>
    <w:rsid w:val="00F554E9"/>
    <w:rsid w:val="00F5651A"/>
    <w:rsid w:val="00F65B45"/>
    <w:rsid w:val="00F66D9C"/>
    <w:rsid w:val="00F71D43"/>
    <w:rsid w:val="00F73110"/>
    <w:rsid w:val="00F73C4A"/>
    <w:rsid w:val="00F82D67"/>
    <w:rsid w:val="00F903F9"/>
    <w:rsid w:val="00FB3925"/>
    <w:rsid w:val="00FD4719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466BA1B8-43D2-42EB-873E-B32BDD9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BE498-BAC7-41A3-9557-3C80CD5B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 SSG</cp:lastModifiedBy>
  <cp:revision>16</cp:revision>
  <cp:lastPrinted>2020-08-17T02:34:00Z</cp:lastPrinted>
  <dcterms:created xsi:type="dcterms:W3CDTF">2017-07-28T01:46:00Z</dcterms:created>
  <dcterms:modified xsi:type="dcterms:W3CDTF">2020-08-17T02:34:00Z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2020-02-26T02:21:19.2613189Z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e8940183-c4e6-4dc2-a3b7-193b63631e0b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2020-02-26T02:21:19.2613189Z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e8940183-c4e6-4dc2-a3b7-193b63631e0b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