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3A7D49" w:rsidRPr="00D84870" w14:paraId="4EBC2B55" w14:textId="77777777" w:rsidTr="0014266D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E4A150" w14:textId="77777777" w:rsidR="003A7D49" w:rsidRPr="003A7D49" w:rsidRDefault="003A7D49" w:rsidP="003A7D49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3A7D49" w:rsidRPr="003A7D49" w:rsidRDefault="003A7D49" w:rsidP="003A7D4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72588E" w14:textId="15507983" w:rsidR="003A7D49" w:rsidRPr="00453FFC" w:rsidRDefault="003A7D49" w:rsidP="00453FFC">
            <w:pPr>
              <w:spacing w:line="276" w:lineRule="auto"/>
              <w:rPr>
                <w:rFonts w:ascii="Arial" w:hAnsi="Arial" w:cs="Arial"/>
              </w:rPr>
            </w:pPr>
            <w:r w:rsidRPr="00453FFC">
              <w:rPr>
                <w:rFonts w:ascii="Arial" w:hAnsi="Arial" w:cs="Arial"/>
              </w:rPr>
              <w:t>Business and Project Management</w:t>
            </w:r>
          </w:p>
        </w:tc>
      </w:tr>
      <w:tr w:rsidR="0014527D" w:rsidRPr="00D84870" w14:paraId="78CCC330" w14:textId="77777777" w:rsidTr="0014266D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2EE4C05E" w14:textId="013C4088" w:rsidR="0014527D" w:rsidRPr="003A7D49" w:rsidRDefault="0014527D" w:rsidP="0014527D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</w:t>
            </w:r>
            <w:r w:rsidR="0014266D">
              <w:rPr>
                <w:rFonts w:ascii="Arial" w:hAnsi="Arial" w:cs="Arial"/>
                <w:b/>
              </w:rPr>
              <w:t xml:space="preserve"> Title </w:t>
            </w:r>
          </w:p>
          <w:p w14:paraId="23D73D5D" w14:textId="4B5249C4" w:rsidR="0014527D" w:rsidRPr="003A7D49" w:rsidRDefault="0014527D" w:rsidP="0014527D">
            <w:pPr>
              <w:spacing w:before="120" w:after="24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359D854" w14:textId="743EC26A" w:rsidR="0014527D" w:rsidRPr="00453FFC" w:rsidRDefault="0014527D" w:rsidP="00453FFC">
            <w:pPr>
              <w:spacing w:line="276" w:lineRule="auto"/>
              <w:rPr>
                <w:rFonts w:ascii="Arial" w:hAnsi="Arial" w:cs="Arial"/>
              </w:rPr>
            </w:pPr>
            <w:r w:rsidRPr="00453FFC">
              <w:rPr>
                <w:rFonts w:ascii="Arial" w:hAnsi="Arial" w:cs="Arial"/>
              </w:rPr>
              <w:t>Sustainability Management</w:t>
            </w:r>
          </w:p>
        </w:tc>
      </w:tr>
      <w:tr w:rsidR="0014527D" w:rsidRPr="00D84870" w14:paraId="76E62AE6" w14:textId="77777777" w:rsidTr="0014266D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026C401B" w14:textId="77777777" w:rsidR="0014527D" w:rsidRPr="003A7D49" w:rsidRDefault="0014527D" w:rsidP="0014527D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14527D" w:rsidRPr="003A7D49" w:rsidRDefault="0014527D" w:rsidP="0014527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2AE0388C" w14:textId="7B09CF50" w:rsidR="0014527D" w:rsidRPr="00453FFC" w:rsidRDefault="0014527D" w:rsidP="00453FFC">
            <w:pPr>
              <w:spacing w:line="276" w:lineRule="auto"/>
              <w:rPr>
                <w:rFonts w:ascii="Arial" w:hAnsi="Arial" w:cs="Arial"/>
              </w:rPr>
            </w:pPr>
            <w:r w:rsidRPr="00453FFC">
              <w:rPr>
                <w:rFonts w:ascii="Arial" w:hAnsi="Arial" w:cs="Arial"/>
              </w:rPr>
              <w:t>Plan, develop and roll out of an organisation-wide sustainability strategy. This includes the assessment of the organisation's utilisation and/or consumption of energy and other resources, vis-a-vis the availability and stability of supply sources and external best practices and standards in sustainability. This also includes the on-going monitoring and tracking of energy and/or resource-consumption over time, to identify impact on the organisation's internal and external environment as well as potential improvements in energy- or resource-efficiency</w:t>
            </w:r>
            <w:r w:rsidR="00204F4C">
              <w:rPr>
                <w:rFonts w:ascii="Arial" w:hAnsi="Arial" w:cs="Arial"/>
              </w:rPr>
              <w:t>.</w:t>
            </w:r>
          </w:p>
        </w:tc>
      </w:tr>
      <w:tr w:rsidR="004067B9" w:rsidRPr="00D84870" w14:paraId="17992112" w14:textId="77777777" w:rsidTr="0014266D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D47BF" w:rsidRPr="00D84870" w14:paraId="737AECCE" w14:textId="77777777" w:rsidTr="002E6FA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8D47BF" w:rsidRPr="00D84870" w:rsidRDefault="008D47BF" w:rsidP="008D47BF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8D47BF" w:rsidRPr="00D84870" w:rsidRDefault="008D47BF" w:rsidP="008D47BF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8D47BF" w:rsidRPr="00D84870" w:rsidRDefault="008D47BF" w:rsidP="008D47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A1EFE" w14:textId="7C42EB0A" w:rsidR="008D47BF" w:rsidRPr="0014266D" w:rsidRDefault="008D47BF" w:rsidP="008D47B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19910793" w:rsidR="008D47BF" w:rsidRPr="0014266D" w:rsidRDefault="008D47BF" w:rsidP="008D47BF">
            <w:pPr>
              <w:jc w:val="center"/>
              <w:rPr>
                <w:rFonts w:ascii="Arial" w:hAnsi="Arial" w:cs="Arial"/>
                <w:b/>
              </w:rPr>
            </w:pPr>
            <w:r w:rsidRPr="0014266D">
              <w:rPr>
                <w:rFonts w:ascii="Arial" w:hAnsi="Arial" w:cs="Arial"/>
                <w:b/>
              </w:rPr>
              <w:t>ICT-SNA-4005-1.1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6BDC5563" w:rsidR="008D47BF" w:rsidRPr="0014266D" w:rsidRDefault="008D47BF" w:rsidP="008D47BF">
            <w:pPr>
              <w:jc w:val="center"/>
              <w:rPr>
                <w:rFonts w:ascii="Arial" w:hAnsi="Arial" w:cs="Arial"/>
                <w:b/>
              </w:rPr>
            </w:pPr>
            <w:r w:rsidRPr="0014266D">
              <w:rPr>
                <w:rFonts w:ascii="Arial" w:hAnsi="Arial" w:cs="Arial"/>
                <w:b/>
              </w:rPr>
              <w:t>ICT-SNA-5005-1.1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C04A4" w14:textId="7EC49FA3" w:rsidR="008D47BF" w:rsidRPr="00D84870" w:rsidRDefault="008D47BF" w:rsidP="008D47BF">
            <w:pPr>
              <w:jc w:val="center"/>
              <w:rPr>
                <w:rFonts w:ascii="Arial" w:hAnsi="Arial" w:cs="Arial"/>
              </w:rPr>
            </w:pPr>
            <w:r w:rsidRPr="0014266D">
              <w:rPr>
                <w:rFonts w:ascii="Arial" w:hAnsi="Arial" w:cs="Arial"/>
                <w:b/>
              </w:rPr>
              <w:t>ICT-SNA-6005-1.1</w:t>
            </w:r>
          </w:p>
        </w:tc>
      </w:tr>
      <w:tr w:rsidR="008D47BF" w:rsidRPr="00D84870" w14:paraId="0A4B710A" w14:textId="77777777" w:rsidTr="002E6FA6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8D47BF" w:rsidRPr="00D84870" w:rsidRDefault="008D47BF" w:rsidP="008D47BF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451813" w14:textId="29E83DEB" w:rsidR="008D47BF" w:rsidRPr="0014527D" w:rsidRDefault="008D47BF" w:rsidP="008D47BF">
            <w:pPr>
              <w:spacing w:before="100" w:beforeAutospacing="1" w:after="24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582D26FA" w:rsidR="008D47BF" w:rsidRPr="0014527D" w:rsidRDefault="008D47BF" w:rsidP="008D47BF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14527D">
              <w:rPr>
                <w:rFonts w:ascii="Arial" w:hAnsi="Arial" w:cs="Arial"/>
                <w:noProof/>
              </w:rPr>
              <w:t>Assess the organisation's utilisation of energy against supply considerations, and propose and implement so</w:t>
            </w:r>
            <w:r>
              <w:rPr>
                <w:rFonts w:ascii="Arial" w:hAnsi="Arial" w:cs="Arial"/>
                <w:noProof/>
              </w:rPr>
              <w:t>lutions to optimise utilisation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573D1AE9" w:rsidR="008D47BF" w:rsidRPr="0014527D" w:rsidRDefault="008D47BF" w:rsidP="008D47BF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Define action plans, solutions and technologies to address energy efficiency gaps, and implement sustainability practices that enco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urage organisational commitment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882B7" w14:textId="5E3E5188" w:rsidR="008D47BF" w:rsidRPr="007360E6" w:rsidRDefault="008D47BF" w:rsidP="008D47BF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14527D">
              <w:rPr>
                <w:rFonts w:ascii="Arial" w:hAnsi="Arial" w:cs="Arial"/>
                <w:noProof/>
              </w:rPr>
              <w:t>Establish an organisation-wide sustainability strategy and introduce new, innovative practices and technologies to optimise</w:t>
            </w:r>
            <w:r>
              <w:rPr>
                <w:rFonts w:ascii="Arial" w:hAnsi="Arial" w:cs="Arial"/>
                <w:noProof/>
              </w:rPr>
              <w:t xml:space="preserve"> energy and resource efficiency</w:t>
            </w:r>
          </w:p>
        </w:tc>
      </w:tr>
      <w:tr w:rsidR="008D47BF" w:rsidRPr="00D84870" w14:paraId="4B3B3A50" w14:textId="77777777" w:rsidTr="00E36F1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8D47BF" w:rsidRPr="00F6341A" w:rsidRDefault="008D47BF" w:rsidP="008D47B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8D47BF" w:rsidRPr="00CC7713" w:rsidRDefault="008D47BF" w:rsidP="008D47B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861C3D" w14:textId="5C572402" w:rsidR="008D47BF" w:rsidRPr="0014527D" w:rsidRDefault="008D47BF" w:rsidP="008D47BF">
            <w:pPr>
              <w:pStyle w:val="ListParagraph"/>
              <w:spacing w:before="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AB609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Metrics of energy and resource utilisation </w:t>
            </w:r>
          </w:p>
          <w:p w14:paraId="56B632C3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Assessment and identification of gaps/ lapses in energy efficiency</w:t>
            </w:r>
          </w:p>
          <w:p w14:paraId="26C64539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Implementation steps for a sustainability action plan</w:t>
            </w:r>
          </w:p>
          <w:p w14:paraId="5EC34980" w14:textId="1F5A6224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 xml:space="preserve">Utilisation of appropriate tools and techniques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3CF06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Impacts of Infocomm Technology (ICT) energy trends</w:t>
            </w:r>
          </w:p>
          <w:p w14:paraId="1ADA121E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Methods to optimise energy and resource efficiency, and their pros and cons</w:t>
            </w:r>
          </w:p>
          <w:p w14:paraId="3AF5C2D2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Tools, techniques and technologies to address sustainability gaps</w:t>
            </w:r>
          </w:p>
          <w:p w14:paraId="6582C45B" w14:textId="013FB56E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>Key considerations for effective implementation of sustainability standards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FE6DA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Global trends and best practices in sustainability management and green ICT</w:t>
            </w:r>
          </w:p>
          <w:p w14:paraId="56E7DAEA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Projection of energy utilisation patterns on the business</w:t>
            </w:r>
          </w:p>
          <w:p w14:paraId="17C61E4E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Innovative sustainability measures, practices and methodologies for ICT</w:t>
            </w:r>
          </w:p>
          <w:p w14:paraId="7B496F2E" w14:textId="26856204" w:rsidR="008D47BF" w:rsidRPr="007360E6" w:rsidRDefault="008D47BF" w:rsidP="008D47BF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4527D">
              <w:rPr>
                <w:rFonts w:ascii="Arial" w:hAnsi="Arial" w:cs="Arial"/>
                <w:noProof/>
              </w:rPr>
              <w:t>Sustainability standards and benchmarks in the industry</w:t>
            </w:r>
          </w:p>
        </w:tc>
      </w:tr>
      <w:tr w:rsidR="008D47BF" w:rsidRPr="00D84870" w14:paraId="7C3F6CED" w14:textId="77777777" w:rsidTr="00E36F1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175773" w14:textId="2D3386FD" w:rsidR="008D47BF" w:rsidRPr="00D84870" w:rsidRDefault="008D47BF" w:rsidP="00E36F1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8D47BF" w:rsidRPr="00CC7713" w:rsidRDefault="008D47BF" w:rsidP="008D47B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CFE4E3" w14:textId="3B268B96" w:rsidR="008D47BF" w:rsidRPr="0014527D" w:rsidRDefault="008D47BF" w:rsidP="008D47BF">
            <w:pPr>
              <w:pStyle w:val="ListParagraph"/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9F7F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Identify ICT energy trends that could impact the organisation</w:t>
            </w:r>
          </w:p>
          <w:p w14:paraId="62508BB9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Monitor the organisation's utilisation of energy and other  resources against availability of supply sources and external standards</w:t>
            </w:r>
          </w:p>
          <w:p w14:paraId="470D2813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Identify gaps, issues, or critical areas for </w:t>
            </w:r>
            <w:r w:rsidRPr="0014527D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improvement in energy and resource efficiency</w:t>
            </w:r>
          </w:p>
          <w:p w14:paraId="5EC74202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Propose possible solutions, tools or technologies that can enhance effectiveness of the organisation's utilisation of energy and resources </w:t>
            </w:r>
          </w:p>
          <w:p w14:paraId="1D3C3027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Implement action plan and solutions in line with the organisation’s sustainability strategy</w:t>
            </w:r>
          </w:p>
          <w:p w14:paraId="29101173" w14:textId="77777777" w:rsidR="008D47BF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Oversee proper utilisation of approved tools, technologies and methodologies to optimise energy and resource utilisation </w:t>
            </w:r>
          </w:p>
          <w:p w14:paraId="707A9A2D" w14:textId="687A34FA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>Monitor compliance with sustainability practices, processes and standards in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F509C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ICT energy trends and findings, and potential impact on organisation practices</w:t>
            </w:r>
          </w:p>
          <w:p w14:paraId="04D438D5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Evaluate organisation's energy utilisation in relation to broader supply availability, stability and external trends  and standards  </w:t>
            </w:r>
          </w:p>
          <w:p w14:paraId="5C94F3C8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Identify significant impact of energy or </w:t>
            </w:r>
            <w:r w:rsidRPr="0014527D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resource-utilisation patterns in the organisation</w:t>
            </w:r>
          </w:p>
          <w:p w14:paraId="59592688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Assess suitability and recommend appropriate tools or technologies to incorporate into the organisation’s practices </w:t>
            </w:r>
          </w:p>
          <w:p w14:paraId="4C28184E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Define action plans to address sustainability gaps and detail solutions to improve energy and resource efficiency in line with organisation’s sustainability strategy</w:t>
            </w:r>
          </w:p>
          <w:p w14:paraId="39394D91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Assess level of compliance with sustainability practices and standards in the organisation</w:t>
            </w:r>
          </w:p>
          <w:p w14:paraId="703743AD" w14:textId="6661765C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>Define follow up actions or modifications to sustainability practices where required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9A96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Review global sustainability trends, and their potential impact on the organisation</w:t>
            </w:r>
          </w:p>
          <w:p w14:paraId="4C654D4D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Integrate industry best practices in green ICT with internal business requirements to develop an organisation-wide sustainability strategy</w:t>
            </w:r>
          </w:p>
          <w:p w14:paraId="65535086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Review analysis of the organisation's energy </w:t>
            </w:r>
            <w:r w:rsidRPr="0014527D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utilisation in relation to supply costs or considerations, and project long-term business implications</w:t>
            </w:r>
          </w:p>
          <w:p w14:paraId="4844FE72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Introduce new, innovative practices and methodologies to optimise energy and resource efficiency for the organisation</w:t>
            </w:r>
          </w:p>
          <w:p w14:paraId="6DFDDD5E" w14:textId="77777777" w:rsidR="00E36F1D" w:rsidRDefault="008D47BF" w:rsidP="00E36F1D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Endorse action plans, tools and technologies to enhance energy and resource efficiency, based on an assessment of their feasibility, validity and alignment with business priorities</w:t>
            </w:r>
          </w:p>
          <w:p w14:paraId="1D08F8D9" w14:textId="184D713D" w:rsidR="008D47BF" w:rsidRPr="00E36F1D" w:rsidRDefault="008D47BF" w:rsidP="00E36F1D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36F1D">
              <w:rPr>
                <w:rFonts w:ascii="Arial" w:hAnsi="Arial" w:cs="Arial"/>
                <w:noProof/>
                <w:sz w:val="22"/>
                <w:szCs w:val="22"/>
              </w:rPr>
              <w:t>Set organisational standards for usage of energy and resources, for conformance by products, services, and operational processes</w:t>
            </w:r>
          </w:p>
        </w:tc>
      </w:tr>
      <w:tr w:rsidR="008D47BF" w:rsidRPr="00D84870" w14:paraId="138E257E" w14:textId="77777777" w:rsidTr="0014266D">
        <w:trPr>
          <w:trHeight w:val="131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6B54E4" w14:textId="1BA28E8C" w:rsidR="008D47BF" w:rsidRPr="00D84870" w:rsidRDefault="008D47BF" w:rsidP="008D47B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66D1DF" w14:textId="77777777" w:rsidR="008D47BF" w:rsidRPr="007360E6" w:rsidRDefault="008D47BF" w:rsidP="008D47BF">
            <w:pPr>
              <w:ind w:left="360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19E7E" w14:textId="77777777" w:rsidR="00AF5072" w:rsidRDefault="00AF5072">
      <w:pPr>
        <w:spacing w:after="0" w:line="240" w:lineRule="auto"/>
      </w:pPr>
      <w:r>
        <w:separator/>
      </w:r>
    </w:p>
  </w:endnote>
  <w:endnote w:type="continuationSeparator" w:id="0">
    <w:p w14:paraId="699E2E57" w14:textId="77777777" w:rsidR="00AF5072" w:rsidRDefault="00AF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F924" w14:textId="77777777" w:rsidR="00E36F1D" w:rsidRDefault="00E3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67BA" w14:textId="77777777" w:rsidR="00672446" w:rsidRDefault="00A81118" w:rsidP="00672446">
    <w:pPr>
      <w:pStyle w:val="Footer"/>
    </w:pPr>
    <w:bookmarkStart w:id="0" w:name="_GoBack"/>
    <w:bookmarkEnd w:id="0"/>
    <w:r>
      <w:t>©SkillsFuture Singapore and Infocomm Media Development Authority</w:t>
    </w:r>
  </w:p>
  <w:p w14:paraId="17251307" w14:textId="12312FA1" w:rsidR="00AE7701" w:rsidRDefault="00672446" w:rsidP="00672446">
    <w:pPr>
      <w:pStyle w:val="Footer"/>
    </w:pPr>
    <w:r>
      <w:t>Effectiv</w:t>
    </w:r>
    <w:r w:rsidR="003A7D49">
      <w:t>e Date: January 2020, Version 2</w:t>
    </w:r>
    <w:r>
      <w:t>.1</w:t>
    </w:r>
    <w:r w:rsidR="00132A5E">
      <w:tab/>
    </w:r>
    <w:r w:rsidR="00132A5E">
      <w:tab/>
    </w:r>
    <w:r w:rsidR="00E36F1D">
      <w:tab/>
    </w:r>
    <w:r w:rsidR="00E36F1D">
      <w:tab/>
    </w:r>
    <w:r w:rsidR="00132A5E"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2E6FA6">
      <w:rPr>
        <w:noProof/>
      </w:rPr>
      <w:t>2</w:t>
    </w:r>
    <w:r w:rsidR="00132A5E">
      <w:fldChar w:fldCharType="end"/>
    </w:r>
    <w:r w:rsidR="00132A5E">
      <w:t xml:space="preserve"> of </w:t>
    </w:r>
    <w:fldSimple w:instr=" NUMPAGES   \* MERGEFORMAT ">
      <w:r w:rsidR="002E6FA6">
        <w:rPr>
          <w:noProof/>
        </w:rPr>
        <w:t>2</w:t>
      </w:r>
    </w:fldSimple>
  </w:p>
  <w:p w14:paraId="0457BFD3" w14:textId="77777777" w:rsidR="00AE7701" w:rsidRDefault="00AF5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EEEA7" w14:textId="77777777" w:rsidR="00E36F1D" w:rsidRDefault="00E3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7ED98" w14:textId="77777777" w:rsidR="00AF5072" w:rsidRDefault="00AF5072">
      <w:pPr>
        <w:spacing w:after="0" w:line="240" w:lineRule="auto"/>
      </w:pPr>
      <w:r>
        <w:separator/>
      </w:r>
    </w:p>
  </w:footnote>
  <w:footnote w:type="continuationSeparator" w:id="0">
    <w:p w14:paraId="34036E90" w14:textId="77777777" w:rsidR="00AF5072" w:rsidRDefault="00AF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74A30" w14:textId="77777777" w:rsidR="00E36F1D" w:rsidRDefault="00E3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AF50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F325" w14:textId="77777777" w:rsidR="00E36F1D" w:rsidRDefault="00E3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CD7"/>
    <w:multiLevelType w:val="hybridMultilevel"/>
    <w:tmpl w:val="238C2878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8B5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7033"/>
    <w:rsid w:val="0013086C"/>
    <w:rsid w:val="00132A5E"/>
    <w:rsid w:val="001333F4"/>
    <w:rsid w:val="00133DFB"/>
    <w:rsid w:val="00135603"/>
    <w:rsid w:val="0013591A"/>
    <w:rsid w:val="0014266D"/>
    <w:rsid w:val="00144068"/>
    <w:rsid w:val="0014527D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4F4C"/>
    <w:rsid w:val="00206BCF"/>
    <w:rsid w:val="0020715B"/>
    <w:rsid w:val="0021267E"/>
    <w:rsid w:val="00213A6E"/>
    <w:rsid w:val="00220353"/>
    <w:rsid w:val="002215AA"/>
    <w:rsid w:val="002244E6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E6FA6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D49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53FFC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2E42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7B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34391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AF5072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6F1D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Jipson SENG (SSG)</cp:lastModifiedBy>
  <cp:revision>10</cp:revision>
  <dcterms:created xsi:type="dcterms:W3CDTF">2020-01-21T12:56:00Z</dcterms:created>
  <dcterms:modified xsi:type="dcterms:W3CDTF">2020-07-17T04:50:00Z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2020-02-26T02:51:34.3087767Z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07f825c9-f916-4d12-9e1e-8ab1045c7f80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2020-02-26T02:51:34.3087767Z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07f825c9-f916-4d12-9e1e-8ab1045c7f80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