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1"/>
        <w:gridCol w:w="3024"/>
        <w:gridCol w:w="3024"/>
        <w:gridCol w:w="3024"/>
        <w:gridCol w:w="3024"/>
        <w:gridCol w:w="3022"/>
      </w:tblGrid>
      <w:tr w:rsidR="008A1FBA" w:rsidRPr="00D84870" w:rsidTr="00F55F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8A1FBA" w:rsidRPr="00D84870" w:rsidRDefault="008A1FB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8A1FBA" w:rsidRPr="00D84870" w:rsidRDefault="008A1FB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8A1FBA" w:rsidRPr="00D84870" w:rsidRDefault="008A1FBA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Stakeholder and Contract Management</w:t>
            </w:r>
          </w:p>
        </w:tc>
      </w:tr>
      <w:tr w:rsidR="008A1FBA" w:rsidRPr="00D84870" w:rsidTr="00F55F14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8A1FBA" w:rsidRPr="00D84870" w:rsidRDefault="008A1FBA" w:rsidP="00F55F1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55F14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AE8E6"/>
          </w:tcPr>
          <w:p w:rsidR="008A1FBA" w:rsidRPr="00D84870" w:rsidRDefault="008A1FBA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Procurement</w:t>
            </w:r>
            <w:bookmarkStart w:id="0" w:name="_GoBack"/>
            <w:bookmarkEnd w:id="0"/>
          </w:p>
        </w:tc>
      </w:tr>
      <w:tr w:rsidR="008A1FBA" w:rsidRPr="00D84870" w:rsidTr="00F55F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8A1FBA" w:rsidRPr="00D84870" w:rsidRDefault="008A1FBA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8A1FBA" w:rsidRPr="00D84870" w:rsidRDefault="008A1FBA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EEED"/>
          </w:tcPr>
          <w:p w:rsidR="008A1FBA" w:rsidRPr="00D84870" w:rsidRDefault="008A1FBA" w:rsidP="00F55F14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and appl</w:t>
            </w:r>
            <w:r w:rsidR="007845B4">
              <w:rPr>
                <w:rFonts w:ascii="Arial" w:hAnsi="Arial" w:cs="Arial"/>
                <w:noProof/>
              </w:rPr>
              <w:t>y</w:t>
            </w:r>
            <w:r w:rsidRPr="00D84870">
              <w:rPr>
                <w:rFonts w:ascii="Arial" w:hAnsi="Arial" w:cs="Arial"/>
                <w:noProof/>
              </w:rPr>
              <w:t xml:space="preserve"> procurement processes related to the solicitation of technology services through external providers. This includes the review of  proposals, setting of vendor selection guidelines, risk assessment throug</w:t>
            </w:r>
            <w:r w:rsidR="007845B4">
              <w:rPr>
                <w:rFonts w:ascii="Arial" w:hAnsi="Arial" w:cs="Arial"/>
                <w:noProof/>
              </w:rPr>
              <w:t xml:space="preserve">h appropriate audits and tests </w:t>
            </w:r>
            <w:r w:rsidRPr="00D84870">
              <w:rPr>
                <w:rFonts w:ascii="Arial" w:hAnsi="Arial" w:cs="Arial"/>
                <w:noProof/>
              </w:rPr>
              <w:t>and selection of external service providers based on</w:t>
            </w:r>
            <w:r w:rsidR="007845B4">
              <w:rPr>
                <w:rFonts w:ascii="Arial" w:hAnsi="Arial" w:cs="Arial"/>
                <w:noProof/>
              </w:rPr>
              <w:t xml:space="preserve"> stipulated evaluation criteria</w:t>
            </w:r>
          </w:p>
        </w:tc>
      </w:tr>
      <w:tr w:rsidR="008A1FBA" w:rsidRPr="00D84870" w:rsidTr="00F55F14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1FBA" w:rsidRPr="00D84870" w:rsidRDefault="008A1FB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FBA" w:rsidRPr="00D84870" w:rsidRDefault="008A1FB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FBA" w:rsidRPr="00D84870" w:rsidRDefault="008A1FB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FBA" w:rsidRPr="00D84870" w:rsidRDefault="008A1FB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FBA" w:rsidRPr="00D84870" w:rsidRDefault="008A1FB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FBA" w:rsidRPr="00D84870" w:rsidRDefault="008A1FB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FBA" w:rsidRPr="00D84870" w:rsidRDefault="008A1FB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8A1FBA" w:rsidRPr="00D84870" w:rsidTr="00F55F1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A1FBA" w:rsidRPr="00D84870" w:rsidRDefault="008A1FBA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1FBA" w:rsidRPr="00D84870" w:rsidRDefault="008A1FB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BA" w:rsidRPr="00D84870" w:rsidRDefault="00A47EDD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ICT-SCM-2003-1.1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BA" w:rsidRPr="00D84870" w:rsidRDefault="00A47EDD" w:rsidP="00A47E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ICT-SCM-3003-1.1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BA" w:rsidRPr="00D84870" w:rsidRDefault="00A47EDD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ICT-SCM-4003-1.1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FBA" w:rsidRPr="00D84870" w:rsidRDefault="00A47EDD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ICT-SCM-5003-1.1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A1FBA" w:rsidRPr="00D84870" w:rsidRDefault="008A1FBA" w:rsidP="00AC1C03">
            <w:pPr>
              <w:jc w:val="center"/>
              <w:rPr>
                <w:rFonts w:ascii="Arial" w:hAnsi="Arial" w:cs="Arial"/>
              </w:rPr>
            </w:pPr>
          </w:p>
        </w:tc>
      </w:tr>
      <w:tr w:rsidR="008A1FBA" w:rsidRPr="00D84870" w:rsidTr="00F55F14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A1FBA" w:rsidRPr="00D84870" w:rsidRDefault="008A1FBA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A1FBA" w:rsidRPr="00D84870" w:rsidRDefault="008A1FB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Conduct research and simple quality, risk and security checks on  IT vendors, preparing draft documents and materials requ</w:t>
            </w:r>
            <w:r w:rsidR="00F55F14">
              <w:rPr>
                <w:rFonts w:ascii="Arial" w:hAnsi="Arial" w:cs="Arial"/>
                <w:noProof/>
              </w:rPr>
              <w:t>ired in the procurement process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E51B62" w:rsidP="00F55F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Prepare R</w:t>
            </w:r>
            <w:r w:rsidR="008A1FBA" w:rsidRPr="00D84870">
              <w:rPr>
                <w:rFonts w:ascii="Arial" w:hAnsi="Arial" w:cs="Arial"/>
                <w:noProof/>
              </w:rPr>
              <w:t xml:space="preserve">equests for </w:t>
            </w:r>
            <w:r>
              <w:rPr>
                <w:rFonts w:ascii="Arial" w:hAnsi="Arial" w:cs="Arial"/>
                <w:noProof/>
              </w:rPr>
              <w:t>P</w:t>
            </w:r>
            <w:r w:rsidR="008A1FBA" w:rsidRPr="00D84870">
              <w:rPr>
                <w:rFonts w:ascii="Arial" w:hAnsi="Arial" w:cs="Arial"/>
                <w:noProof/>
              </w:rPr>
              <w:t>roposals</w:t>
            </w:r>
            <w:r>
              <w:rPr>
                <w:rFonts w:ascii="Arial" w:hAnsi="Arial" w:cs="Arial"/>
                <w:noProof/>
              </w:rPr>
              <w:t xml:space="preserve"> (RFP)</w:t>
            </w:r>
            <w:r w:rsidR="008A1FBA" w:rsidRPr="00D84870">
              <w:rPr>
                <w:rFonts w:ascii="Arial" w:hAnsi="Arial" w:cs="Arial"/>
                <w:noProof/>
              </w:rPr>
              <w:t xml:space="preserve">, and assess them against selection criteria and technical specifications, implementing security due diligence review </w:t>
            </w:r>
            <w:r w:rsidR="00F55F14">
              <w:rPr>
                <w:rFonts w:ascii="Arial" w:hAnsi="Arial" w:cs="Arial"/>
                <w:noProof/>
              </w:rPr>
              <w:t>in the vendor selection process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 procurement plan including vendor selection guidelines, and select a suitable service provi</w:t>
            </w:r>
            <w:r w:rsidR="00F55F14">
              <w:rPr>
                <w:rFonts w:ascii="Arial" w:hAnsi="Arial" w:cs="Arial"/>
                <w:noProof/>
              </w:rPr>
              <w:t>der considering potential risks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an organisation-wide procurement process as well as policies and criteria for security due diligence review, retaining accountability</w:t>
            </w:r>
            <w:r w:rsidR="00F55F14">
              <w:rPr>
                <w:rFonts w:ascii="Arial" w:hAnsi="Arial" w:cs="Arial"/>
                <w:noProof/>
              </w:rPr>
              <w:t xml:space="preserve"> for procurement decisions made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A1FBA" w:rsidRPr="00D84870" w:rsidRDefault="008A1FB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A1FBA" w:rsidRPr="00D84870" w:rsidTr="00F55F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1FBA" w:rsidRPr="00AD6F27" w:rsidRDefault="008A1FBA" w:rsidP="00F55F14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A1FBA" w:rsidRPr="00D84870" w:rsidRDefault="008A1FB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IT service procurement processes and procedures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Basic, commonly-used risk, security and quality checks on vendors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Due diligence process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Contract and tender documentation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Current industry-accepted technology services and their general features and capabilities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Organisation and service provider roles and responsibilities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Process of developing project procurement specifications</w:t>
            </w:r>
          </w:p>
          <w:p w:rsidR="008A1FBA" w:rsidRPr="00D84870" w:rsidRDefault="00E51B62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FAQ based</w:t>
            </w:r>
            <w:r w:rsidR="008A1FBA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service provider queries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Objectives and criteria for security due diligence review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risks in engaging potential service providers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Cost</w:t>
            </w:r>
            <w:r w:rsidR="00E51B62">
              <w:rPr>
                <w:rFonts w:ascii="Arial" w:hAnsi="Arial" w:cs="Arial"/>
                <w:noProof/>
                <w:sz w:val="22"/>
                <w:szCs w:val="22"/>
              </w:rPr>
              <w:t>-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benefit analysis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Principles of vendor selection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Selection guidelines to determine the successful vendor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Integration capabilities and conflicts between diverse IT services and products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Evaluation criteria and key principles for assessing service provider proposals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security considerations and procedures in the vendor selection process, including background checks, contract assurance, non-disclosure agreements, vendors' incident response policies etc.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Best practices and industry standards in procurement processes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Information security and risk standards and guidelines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A1FBA" w:rsidRPr="00D84870" w:rsidRDefault="008A1FB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A1FBA" w:rsidRPr="00D84870" w:rsidTr="00F55F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1FBA" w:rsidRPr="00D84870" w:rsidRDefault="008A1FBA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:rsidR="008A1FBA" w:rsidRPr="00D84870" w:rsidRDefault="008A1FBA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A1FBA" w:rsidRPr="00D84870" w:rsidRDefault="008A1FBA" w:rsidP="00AC1C03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8A1FBA" w:rsidRPr="00D84870" w:rsidRDefault="008A1FBA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A1FBA" w:rsidRPr="00D84870" w:rsidRDefault="008A1FBA" w:rsidP="00AC1C03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8A1FBA" w:rsidRPr="00D84870" w:rsidRDefault="008A1FBA" w:rsidP="00AC1C03">
            <w:pPr>
              <w:rPr>
                <w:rFonts w:ascii="Arial" w:hAnsi="Arial" w:cs="Arial"/>
                <w:b/>
              </w:rPr>
            </w:pPr>
          </w:p>
          <w:p w:rsidR="008A1FBA" w:rsidRPr="00D84870" w:rsidRDefault="008A1FBA" w:rsidP="00AC1C03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A1FBA" w:rsidRPr="00D84870" w:rsidRDefault="008A1FB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research and environment scan on IT services and potential service-providers available to engage</w:t>
            </w:r>
          </w:p>
          <w:p w:rsidR="008A1FBA" w:rsidRPr="00D84870" w:rsidRDefault="00EE73BD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Issue R</w:t>
            </w:r>
            <w:r w:rsidR="008A1FBA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equest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F</w:t>
            </w:r>
            <w:r w:rsidR="008A1FBA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or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P</w:t>
            </w:r>
            <w:r w:rsidR="008A1FBA" w:rsidRPr="00D84870">
              <w:rPr>
                <w:rFonts w:ascii="Arial" w:hAnsi="Arial" w:cs="Arial"/>
                <w:noProof/>
                <w:sz w:val="22"/>
                <w:szCs w:val="22"/>
              </w:rPr>
              <w:t>roposals (RFPs) tender invitations to solicit service providers' proposals, in accordance to standard organisation procedures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Collate vendors' proposals for review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Conduct simple quality, risk and security checks or tests to assess viability of potential vendors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Document security test and review results so as to identify risks and control weaknesses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Prepare draft contracts and documents for uploading, releasing or signing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Prepare a draft RFP, detailing the relevant business requirements, technical specifications and information needed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Serve as a contact point and respond to simple queries presented by vendors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proposals and submissions, and assess them against the pre-determined selection criteria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Implement security due diligence review in the vendor selection process, </w:t>
            </w:r>
            <w:r w:rsidR="00EE73BD">
              <w:rPr>
                <w:rFonts w:ascii="Arial" w:hAnsi="Arial" w:cs="Arial"/>
                <w:noProof/>
                <w:sz w:val="22"/>
                <w:szCs w:val="22"/>
              </w:rPr>
              <w:t>to ensure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that all review criteria are covered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Identify high-risk and high-value projects, and articulate risks in engaging potential service providers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Draft evaluation report, highlighting the strengths, limitations and key considerations of each vendor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Recommend the most appropriate service-providers according to the approved criteria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a procurement plan based on project procurement needs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Influence procurement policies and procedures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across th</w:t>
            </w:r>
            <w:r w:rsidR="00EE73BD">
              <w:rPr>
                <w:rFonts w:ascii="Arial" w:hAnsi="Arial" w:cs="Arial"/>
                <w:noProof/>
                <w:sz w:val="22"/>
                <w:szCs w:val="22"/>
              </w:rPr>
              <w:t>e suite of processes including Request for P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roposals</w:t>
            </w:r>
            <w:r w:rsidR="00EE73BD">
              <w:rPr>
                <w:rFonts w:ascii="Arial" w:hAnsi="Arial" w:cs="Arial"/>
                <w:noProof/>
                <w:sz w:val="22"/>
                <w:szCs w:val="22"/>
              </w:rPr>
              <w:t xml:space="preserve"> (RFP)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, tendering, evaluation and selection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vendor selection guidelines based on business requirements, budgets and resources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Specify IT project or technical specifications to be included in the tender documents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Resolve complex queries or issues presented by vendors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Plan security due diligence review prior to contract-signing, particularly for high-risk or high-value projects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Assess risks and evaluat</w:t>
            </w:r>
            <w:r w:rsidR="00EE73BD">
              <w:rPr>
                <w:rFonts w:ascii="Arial" w:hAnsi="Arial" w:cs="Arial"/>
                <w:noProof/>
                <w:sz w:val="22"/>
                <w:szCs w:val="22"/>
              </w:rPr>
              <w:t>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 potential vendor's viability through relevant audits and test results</w:t>
            </w:r>
          </w:p>
          <w:p w:rsidR="008A1FBA" w:rsidRPr="00D84870" w:rsidRDefault="00EE73BD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Draft</w:t>
            </w:r>
            <w:r w:rsidR="008A1FBA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an evaluation report and recommendations based on the selected service provider, for senior management's approval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organisation-wide procurement policies and processes</w:t>
            </w:r>
          </w:p>
          <w:p w:rsidR="008A1FBA" w:rsidRPr="00D84870" w:rsidRDefault="00EE73BD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 responsibilities</w:t>
            </w:r>
            <w:r w:rsidR="008A1FBA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for conformance of </w:t>
            </w:r>
            <w:r w:rsidR="008A1FBA"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procurement processes to external legislation and internal guidelines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Approve selection criteria and guidelines, ensuring alignment with the business priorities and key considerations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policies and criteria for security due diligence review, based on internal and external information security standards and guidelines</w:t>
            </w:r>
          </w:p>
          <w:p w:rsidR="008A1FBA" w:rsidRPr="00D84870" w:rsidRDefault="008A1FBA" w:rsidP="00F55F14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Review evaluation reports and endorse recommendations for selection of external service providers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A1FBA" w:rsidRPr="00D84870" w:rsidRDefault="008A1FB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8A1FBA" w:rsidRPr="00D84870" w:rsidTr="00F55F14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A1FBA" w:rsidRPr="00D84870" w:rsidRDefault="008A1FBA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8A1FBA" w:rsidRPr="00D84870" w:rsidRDefault="008A1FBA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8A1FBA" w:rsidRPr="00D84870" w:rsidRDefault="008A1FBA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8A1FBA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2D0" w:rsidRDefault="001442D0">
      <w:pPr>
        <w:spacing w:after="0" w:line="240" w:lineRule="auto"/>
      </w:pPr>
      <w:r>
        <w:separator/>
      </w:r>
    </w:p>
  </w:endnote>
  <w:endnote w:type="continuationSeparator" w:id="0">
    <w:p w:rsidR="001442D0" w:rsidRDefault="0014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EDD" w:rsidRDefault="003D513D" w:rsidP="00A47EDD">
    <w:pPr>
      <w:pStyle w:val="Footer"/>
    </w:pPr>
    <w:r>
      <w:t>©SkillsFuture Singapore and Infocomm Media Development Authority</w:t>
    </w:r>
  </w:p>
  <w:p w:rsidR="00AE7701" w:rsidRDefault="00A47EDD" w:rsidP="00A47EDD">
    <w:pPr>
      <w:pStyle w:val="Footer"/>
    </w:pPr>
    <w:r>
      <w:t xml:space="preserve">Effective Date: </w:t>
    </w:r>
    <w:r w:rsidR="00AD6F27">
      <w:t>January</w:t>
    </w:r>
    <w:r>
      <w:t xml:space="preserve"> 20</w:t>
    </w:r>
    <w:r w:rsidR="00955DDF">
      <w:t>20, Version 1</w:t>
    </w:r>
    <w:r>
      <w:t>.1</w:t>
    </w:r>
    <w:r w:rsidR="008A1FBA">
      <w:tab/>
    </w:r>
    <w:r w:rsidR="008A1FBA">
      <w:tab/>
      <w:t xml:space="preserve">Page </w:t>
    </w:r>
    <w:r w:rsidR="008A1FBA">
      <w:fldChar w:fldCharType="begin"/>
    </w:r>
    <w:r w:rsidR="008A1FBA">
      <w:instrText xml:space="preserve"> PAGE   \* MERGEFORMAT </w:instrText>
    </w:r>
    <w:r w:rsidR="008A1FBA">
      <w:fldChar w:fldCharType="separate"/>
    </w:r>
    <w:r w:rsidR="00F55F14">
      <w:rPr>
        <w:noProof/>
      </w:rPr>
      <w:t>1</w:t>
    </w:r>
    <w:r w:rsidR="008A1FBA">
      <w:fldChar w:fldCharType="end"/>
    </w:r>
    <w:r w:rsidR="008A1FBA">
      <w:t xml:space="preserve"> of </w:t>
    </w:r>
    <w:r w:rsidR="001442D0">
      <w:fldChar w:fldCharType="begin"/>
    </w:r>
    <w:r w:rsidR="001442D0">
      <w:instrText xml:space="preserve"> NUMPAGES   \* MERGEFORMAT </w:instrText>
    </w:r>
    <w:r w:rsidR="001442D0">
      <w:fldChar w:fldCharType="separate"/>
    </w:r>
    <w:r w:rsidR="00F55F14">
      <w:rPr>
        <w:noProof/>
      </w:rPr>
      <w:t>2</w:t>
    </w:r>
    <w:r w:rsidR="001442D0">
      <w:rPr>
        <w:noProof/>
      </w:rPr>
      <w:fldChar w:fldCharType="end"/>
    </w:r>
  </w:p>
  <w:p w:rsidR="00AE7701" w:rsidRDefault="00144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2D0" w:rsidRDefault="001442D0">
      <w:pPr>
        <w:spacing w:after="0" w:line="240" w:lineRule="auto"/>
      </w:pPr>
      <w:r>
        <w:separator/>
      </w:r>
    </w:p>
  </w:footnote>
  <w:footnote w:type="continuationSeparator" w:id="0">
    <w:p w:rsidR="001442D0" w:rsidRDefault="00144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EDD" w:rsidRDefault="003D513D" w:rsidP="00A47EDD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7FE46D7" wp14:editId="60F07647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8A1FB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8A1FB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144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BA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42D0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41D5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D513D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42C8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1E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45B4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1FBA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55DDF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47EDD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D6F27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295C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65C6D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1B62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E73BD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55F14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DB1955"/>
  <w15:docId w15:val="{82F280C7-345A-4873-9431-95CC83D5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FB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8A1FB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8A1FB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8A1F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8A1FB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8A1FB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8A1FB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8A1FBA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2020-01-21T17:04:00Z</dcterms:created>
  <dcterms:modified xsi:type="dcterms:W3CDTF">2020-02-28T06:41:00Z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84c195aad5904295805d16af8dfc6d6d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2020-02-28T06:41:03.1580302Z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d8f26eac-8ca2-4498-9591-1b59ce7cb257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2020-02-28T06:41:03.1580302Z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d8f26eac-8ca2-4498-9591-1b59ce7cb257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