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E50C9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3421B4A8" w14:textId="42033584" w:rsidR="000935A6" w:rsidRDefault="00144799" w:rsidP="00CD4C18">
            <w:pPr>
              <w:spacing w:before="120" w:after="24"/>
              <w:rPr>
                <w:rFonts w:ascii="Arial" w:hAnsi="Arial" w:cs="Arial"/>
              </w:rPr>
            </w:pPr>
            <w:r w:rsidRPr="00144799">
              <w:rPr>
                <w:rFonts w:ascii="Arial" w:hAnsi="Arial" w:cs="Arial"/>
              </w:rPr>
              <w:t>Strategy Planning and Implementation</w:t>
            </w:r>
          </w:p>
        </w:tc>
      </w:tr>
      <w:tr w:rsidR="000935A6" w14:paraId="2F3D43BA" w14:textId="77777777" w:rsidTr="00E50C9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1041940C" w14:textId="3D14299E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E50C9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3ED93E71" w14:textId="6EE17CA7" w:rsidR="000935A6" w:rsidRDefault="007B2A7B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Strategy</w:t>
            </w:r>
            <w:bookmarkStart w:id="0" w:name="_GoBack"/>
            <w:bookmarkEnd w:id="0"/>
          </w:p>
        </w:tc>
      </w:tr>
      <w:tr w:rsidR="000935A6" w14:paraId="224EE53E" w14:textId="77777777" w:rsidTr="00E50C9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7E807D2B" w14:textId="12D73CFD" w:rsidR="000935A6" w:rsidRDefault="007B2A7B" w:rsidP="00E50C90">
            <w:pPr>
              <w:spacing w:before="120" w:after="24" w:line="276" w:lineRule="auto"/>
              <w:rPr>
                <w:rFonts w:ascii="Arial" w:hAnsi="Arial" w:cs="Arial"/>
              </w:rPr>
            </w:pPr>
            <w:r w:rsidRPr="007B2A7B">
              <w:rPr>
                <w:rFonts w:ascii="Arial" w:hAnsi="Arial" w:cs="Arial"/>
              </w:rPr>
              <w:t>Develop a robust and coherent data strategy and support architectures, policies, practices and procedures that enable the organisation to manage and utilise data in an effective manner.</w:t>
            </w:r>
            <w:r w:rsidR="00737C7A">
              <w:rPr>
                <w:rFonts w:ascii="Arial" w:hAnsi="Arial" w:cs="Arial"/>
              </w:rPr>
              <w:t xml:space="preserve"> This i</w:t>
            </w:r>
            <w:r w:rsidRPr="007B2A7B">
              <w:rPr>
                <w:rFonts w:ascii="Arial" w:hAnsi="Arial" w:cs="Arial"/>
              </w:rPr>
              <w:t>ncludes introduction of innovative ways of organising, managing and integrati</w:t>
            </w:r>
            <w:r w:rsidR="00737C7A">
              <w:rPr>
                <w:rFonts w:ascii="Arial" w:hAnsi="Arial" w:cs="Arial"/>
              </w:rPr>
              <w:t>ng the data of the organisation</w:t>
            </w:r>
            <w:r w:rsidRPr="007B2A7B">
              <w:rPr>
                <w:rFonts w:ascii="Arial" w:hAnsi="Arial" w:cs="Arial"/>
              </w:rPr>
              <w:t xml:space="preserve"> to ensure their viability and ability to drive business value. </w:t>
            </w:r>
            <w:r w:rsidR="00737C7A">
              <w:rPr>
                <w:rFonts w:ascii="Arial" w:hAnsi="Arial" w:cs="Arial"/>
              </w:rPr>
              <w:t>It a</w:t>
            </w:r>
            <w:r w:rsidRPr="007B2A7B">
              <w:rPr>
                <w:rFonts w:ascii="Arial" w:hAnsi="Arial" w:cs="Arial"/>
              </w:rPr>
              <w:t>lso</w:t>
            </w:r>
            <w:r w:rsidR="00737C7A">
              <w:rPr>
                <w:rFonts w:ascii="Arial" w:hAnsi="Arial" w:cs="Arial"/>
              </w:rPr>
              <w:t xml:space="preserve"> includes</w:t>
            </w:r>
            <w:r w:rsidRPr="007B2A7B">
              <w:rPr>
                <w:rFonts w:ascii="Arial" w:hAnsi="Arial" w:cs="Arial"/>
              </w:rPr>
              <w:t xml:space="preserve"> the setting of information storage, sharing, handling and usage protocols to support alignment with relevant legi</w:t>
            </w:r>
            <w:r w:rsidR="00312F24">
              <w:rPr>
                <w:rFonts w:ascii="Arial" w:hAnsi="Arial" w:cs="Arial"/>
              </w:rPr>
              <w:t>slation and business strategies</w:t>
            </w:r>
          </w:p>
        </w:tc>
      </w:tr>
      <w:tr w:rsidR="000935A6" w14:paraId="54DE65D4" w14:textId="77777777" w:rsidTr="00E50C9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862DD5" w14:paraId="49832E25" w14:textId="77777777" w:rsidTr="00E50C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862DD5" w:rsidRDefault="00862DD5" w:rsidP="00862DD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6AC56EE6" w:rsidR="00862DD5" w:rsidRDefault="00862DD5" w:rsidP="00862DD5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333C67EA" w:rsidR="00862DD5" w:rsidRDefault="00862DD5" w:rsidP="00862DD5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2F6B4750" w:rsidR="00862DD5" w:rsidRDefault="00862DD5" w:rsidP="00862DD5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6B43DC5A" w:rsidR="00862DD5" w:rsidRDefault="00862DD5" w:rsidP="00862DD5">
            <w:pPr>
              <w:jc w:val="center"/>
            </w:pPr>
            <w:r>
              <w:rPr>
                <w:rFonts w:ascii="Arial" w:hAnsi="Arial" w:cs="Arial"/>
                <w:b/>
              </w:rPr>
              <w:t>ICT-SNA-4009-1.1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58404D6C" w:rsidR="00862DD5" w:rsidRDefault="00862DD5" w:rsidP="00862DD5">
            <w:pPr>
              <w:jc w:val="center"/>
            </w:pPr>
            <w:r>
              <w:rPr>
                <w:rFonts w:ascii="Arial" w:hAnsi="Arial" w:cs="Arial"/>
                <w:b/>
              </w:rPr>
              <w:t>ICT-SNA-5009-1.1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79F9C810" w:rsidR="00862DD5" w:rsidRDefault="00862DD5" w:rsidP="00862DD5">
            <w:pPr>
              <w:jc w:val="center"/>
            </w:pPr>
            <w:r>
              <w:rPr>
                <w:rFonts w:ascii="Arial" w:hAnsi="Arial" w:cs="Arial"/>
                <w:b/>
              </w:rPr>
              <w:t>ICT-SNA-6009-1.1</w:t>
            </w:r>
          </w:p>
        </w:tc>
      </w:tr>
      <w:tr w:rsidR="00862DD5" w14:paraId="6816525C" w14:textId="77777777" w:rsidTr="00E50C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862DD5" w:rsidRDefault="00862DD5" w:rsidP="00862DD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862DD5" w:rsidRPr="000745AB" w:rsidRDefault="00862DD5" w:rsidP="00862DD5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862DD5" w:rsidRPr="000745AB" w:rsidRDefault="00862DD5" w:rsidP="00862DD5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862DD5" w:rsidRPr="000745AB" w:rsidRDefault="00862DD5" w:rsidP="00862DD5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01B94663" w:rsidR="00862DD5" w:rsidRPr="000745AB" w:rsidRDefault="00862DD5" w:rsidP="00E50C9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data management structures and recommend policies, processes and tools for effective data sto</w:t>
            </w:r>
            <w:r w:rsidR="00E50C90">
              <w:rPr>
                <w:rFonts w:ascii="Arial" w:hAnsi="Arial" w:cs="Arial"/>
              </w:rPr>
              <w:t>rage, handling and utilisation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75A8548B" w:rsidR="00862DD5" w:rsidRPr="000745AB" w:rsidRDefault="00862DD5" w:rsidP="00E50C9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data management strategies to extract maximum value from information assets and support decisio</w:t>
            </w:r>
            <w:r w:rsidR="00E50C90">
              <w:rPr>
                <w:rFonts w:ascii="Arial" w:hAnsi="Arial" w:cs="Arial"/>
              </w:rPr>
              <w:t>n-making and business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59FDD4F7" w:rsidR="00862DD5" w:rsidRPr="000745AB" w:rsidRDefault="00862DD5" w:rsidP="00E50C9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coherent data strategy and spearhead new approaches to enrich, synthesise and apply data, to maximise the value of data as a cri</w:t>
            </w:r>
            <w:r w:rsidR="00E50C90">
              <w:rPr>
                <w:rFonts w:ascii="Arial" w:hAnsi="Arial" w:cs="Arial"/>
              </w:rPr>
              <w:t>tical business asset and driver</w:t>
            </w:r>
          </w:p>
        </w:tc>
      </w:tr>
      <w:tr w:rsidR="00862DD5" w14:paraId="53645E7F" w14:textId="77777777" w:rsidTr="00E50C9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294C0" w14:textId="2B3EBF58" w:rsidR="00E50C90" w:rsidRPr="00144799" w:rsidRDefault="00862DD5" w:rsidP="00E50C90">
            <w:pPr>
              <w:spacing w:before="120"/>
            </w:pPr>
            <w:r>
              <w:rPr>
                <w:rFonts w:ascii="Arial" w:hAnsi="Arial" w:cs="Arial"/>
                <w:b/>
              </w:rPr>
              <w:t>Knowledge</w:t>
            </w:r>
          </w:p>
          <w:p w14:paraId="75F38062" w14:textId="22F63C3B" w:rsidR="00862DD5" w:rsidRPr="00144799" w:rsidRDefault="00862DD5" w:rsidP="00144799">
            <w:pPr>
              <w:tabs>
                <w:tab w:val="left" w:pos="184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862DD5" w:rsidRPr="000745AB" w:rsidRDefault="00862DD5" w:rsidP="00862DD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862DD5" w:rsidRPr="000745AB" w:rsidRDefault="00862DD5" w:rsidP="00862DD5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862DD5" w:rsidRPr="000745AB" w:rsidRDefault="00862DD5" w:rsidP="00862DD5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C07E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management structures</w:t>
            </w:r>
          </w:p>
          <w:p w14:paraId="4A916EDD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handling approaches</w:t>
            </w:r>
          </w:p>
          <w:p w14:paraId="224274E6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management standards and tools</w:t>
            </w:r>
          </w:p>
          <w:p w14:paraId="700617E2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Typical protocols in information asset management</w:t>
            </w:r>
          </w:p>
          <w:p w14:paraId="002EDEC2" w14:textId="34CF1CFB" w:rsidR="00862DD5" w:rsidRPr="000745AB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Internal and external information management guidelines and rules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0475F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architecture design and formulation</w:t>
            </w:r>
          </w:p>
          <w:p w14:paraId="6C913DE5" w14:textId="52B9C485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or data flows of a business</w:t>
            </w:r>
          </w:p>
          <w:p w14:paraId="3A0D7980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structure design</w:t>
            </w:r>
          </w:p>
          <w:p w14:paraId="246DB412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information assets and their business value</w:t>
            </w:r>
          </w:p>
          <w:p w14:paraId="48886063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management approaches and frameworks, and their pros and cons</w:t>
            </w:r>
          </w:p>
          <w:p w14:paraId="7CB2376E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Existing, new and revised internal and external information regulation policies and</w:t>
            </w:r>
          </w:p>
          <w:p w14:paraId="0B8815C0" w14:textId="5C05846D" w:rsidR="00862DD5" w:rsidRPr="000745AB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requirements</w:t>
            </w:r>
            <w:r>
              <w:rPr>
                <w:rFonts w:ascii="Arial" w:hAnsi="Arial" w:cs="Arial"/>
                <w:sz w:val="22"/>
                <w:szCs w:val="22"/>
              </w:rPr>
              <w:br/>
              <w:t>Knowledge of a specific industry domain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2D34F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considerations and components of a data strategy</w:t>
            </w:r>
          </w:p>
          <w:p w14:paraId="4B02591C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Principles of data architecture design</w:t>
            </w:r>
          </w:p>
          <w:p w14:paraId="7176467C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standards and best practices in enterprise-level data governance, control and policies</w:t>
            </w:r>
          </w:p>
          <w:p w14:paraId="2277E686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Internal and external data regulations in relation to customers, ownership and usage</w:t>
            </w:r>
          </w:p>
          <w:p w14:paraId="11F06AC1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Principles and techniques of data exploitation and utilisation</w:t>
            </w:r>
          </w:p>
          <w:p w14:paraId="692B98C8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Relevance and application of Internet of Things concept</w:t>
            </w:r>
          </w:p>
          <w:p w14:paraId="7EB7271C" w14:textId="48912ADD" w:rsidR="00862DD5" w:rsidRPr="00377F3E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In-depth knowledge of a specific industry domain, and related industries</w:t>
            </w:r>
          </w:p>
        </w:tc>
      </w:tr>
      <w:tr w:rsidR="00862DD5" w14:paraId="01190643" w14:textId="77777777" w:rsidTr="00E50C9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862DD5" w:rsidRDefault="00862DD5" w:rsidP="00862DD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  <w:p w14:paraId="6957B159" w14:textId="77777777" w:rsidR="00862DD5" w:rsidRDefault="00862DD5" w:rsidP="00862DD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862DD5" w:rsidRDefault="00862DD5" w:rsidP="00862DD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862DD5" w:rsidRDefault="00862DD5" w:rsidP="00862DD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862DD5" w:rsidRDefault="00862DD5" w:rsidP="00862DD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862DD5" w:rsidRDefault="00862DD5" w:rsidP="00862DD5">
            <w:pPr>
              <w:rPr>
                <w:rFonts w:ascii="Arial" w:hAnsi="Arial" w:cs="Arial"/>
                <w:b/>
              </w:rPr>
            </w:pPr>
          </w:p>
          <w:p w14:paraId="334BB347" w14:textId="77777777" w:rsidR="00862DD5" w:rsidRDefault="00862DD5" w:rsidP="00862DD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862DD5" w:rsidRPr="000745AB" w:rsidRDefault="00862DD5" w:rsidP="00862DD5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862DD5" w:rsidRPr="000745AB" w:rsidRDefault="00862DD5" w:rsidP="00862DD5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862DD5" w:rsidRPr="000745AB" w:rsidRDefault="00862DD5" w:rsidP="00862DD5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9FFAD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data management structures to align and streamline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processes of data ownership, retrieval, combination and usage</w:t>
            </w:r>
          </w:p>
          <w:p w14:paraId="57C9EA10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processes for effective data storage, sharing and utilisation within the organisation</w:t>
            </w:r>
          </w:p>
          <w:p w14:paraId="45556230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policy, standards and procedures on data management for compliance with relevant legislation</w:t>
            </w:r>
          </w:p>
          <w:p w14:paraId="2DAADB98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Introduce relevant standards and tools that can be applied to the management and treatment of critical data</w:t>
            </w:r>
          </w:p>
          <w:p w14:paraId="2F9BAF28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gaps, inefficiencies and potential risks in existing data management processes</w:t>
            </w:r>
          </w:p>
          <w:p w14:paraId="1F89D9B6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 enhancements or modifications to data handling procedures</w:t>
            </w:r>
          </w:p>
          <w:p w14:paraId="236DCA40" w14:textId="2B53E405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internal processes to monitor compliance of information or data handling and access requests with approved procedures</w:t>
            </w:r>
          </w:p>
          <w:p w14:paraId="0D98537D" w14:textId="45F4AF20" w:rsidR="00862DD5" w:rsidRPr="004E7E03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ongoing advice to ensure proper adoption of and adherence to data policies and information architectures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DF1B8" w14:textId="036BFE4D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Establish data standards, internal processes and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structures to enable the organisation to maximise value from data and information assets</w:t>
            </w:r>
          </w:p>
          <w:p w14:paraId="21455C48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 the capturing, retention and utilisation of critical data</w:t>
            </w:r>
          </w:p>
          <w:p w14:paraId="5187D9A0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Oversee the organisation's data architecture, including the monitoring and management of data flows </w:t>
            </w:r>
          </w:p>
          <w:p w14:paraId="0781344D" w14:textId="7AF9A589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usage of various forms of data to support decision-making and business processes</w:t>
            </w:r>
          </w:p>
          <w:p w14:paraId="0E668C23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Anticipate the current and future information lifecycle needs of an organisation</w:t>
            </w:r>
          </w:p>
          <w:p w14:paraId="6F505BA0" w14:textId="77777777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the organisation's data management strategy</w:t>
            </w:r>
          </w:p>
          <w:p w14:paraId="315EF794" w14:textId="7D62F5C5" w:rsidR="00862DD5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corporate Standard Operating Procedures (SOP), protocols and standards for data management, sourcing, handling and treatment</w:t>
            </w:r>
          </w:p>
          <w:p w14:paraId="22A9064C" w14:textId="420B07FA" w:rsidR="00862DD5" w:rsidRPr="000745AB" w:rsidRDefault="00862DD5" w:rsidP="00E50C9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guidelines for effective data storage, sharing and publishing within the organisation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518E5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Establish a coherent data and analytics strategy, determining the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use of new, existing and legacy information assets</w:t>
            </w:r>
          </w:p>
          <w:p w14:paraId="5755348B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the kinds of data the organisation should capture, retain and utilise</w:t>
            </w:r>
          </w:p>
          <w:p w14:paraId="1640A805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the processes and systems required to capture, retain and utilise critical data </w:t>
            </w:r>
          </w:p>
          <w:p w14:paraId="401DC5E9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Articulate the strategic value of data in the organisation and its role as a critical business asset and driver</w:t>
            </w:r>
          </w:p>
          <w:p w14:paraId="158D5A64" w14:textId="7C6E5B58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Design the overarching data architecture for the organisation, including the definition of data flows and principles of data governance </w:t>
            </w:r>
          </w:p>
          <w:p w14:paraId="2D6E4F28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strategic utilisation and exploitation of data assets to generate business value for the organisation</w:t>
            </w:r>
          </w:p>
          <w:p w14:paraId="4D840DAC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Spearhead new strategies and approaches to enrich, fuse or synthesise data</w:t>
            </w:r>
          </w:p>
          <w:p w14:paraId="7A6DF5F4" w14:textId="77777777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bird's eye view of data connections across and beyond the organisation</w:t>
            </w:r>
          </w:p>
          <w:p w14:paraId="71E6AD21" w14:textId="1BB0FE1C" w:rsidR="00862DD5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Chart direction on the integration and synthesis of different data pieces to draw trends and representations</w:t>
            </w:r>
          </w:p>
          <w:p w14:paraId="496349F5" w14:textId="398CC63F" w:rsidR="00862DD5" w:rsidRPr="00377F3E" w:rsidRDefault="00862DD5" w:rsidP="00E50C9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Ensure alignment of information management strategy with business direction, considering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evolving business risks and potential liabilities</w:t>
            </w:r>
          </w:p>
        </w:tc>
      </w:tr>
      <w:tr w:rsidR="00B70B9B" w14:paraId="52AD4D9A" w14:textId="77777777" w:rsidTr="00E50C9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6CB909" w14:textId="43057F4C" w:rsidR="00B70B9B" w:rsidRDefault="00B70B9B" w:rsidP="00862DD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Range of Application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4A792" w14:textId="77777777" w:rsidR="00B70B9B" w:rsidRDefault="00B70B9B" w:rsidP="00862DD5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01849" w14:textId="77777777" w:rsidR="00EA2F73" w:rsidRDefault="00EA2F73" w:rsidP="006B04D1">
      <w:pPr>
        <w:spacing w:after="0" w:line="240" w:lineRule="auto"/>
      </w:pPr>
      <w:r>
        <w:separator/>
      </w:r>
    </w:p>
  </w:endnote>
  <w:endnote w:type="continuationSeparator" w:id="0">
    <w:p w14:paraId="76D34C3D" w14:textId="77777777" w:rsidR="00EA2F73" w:rsidRDefault="00EA2F73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23610" w14:textId="53CA4FC5" w:rsidR="00862DD5" w:rsidRDefault="00B04D2B" w:rsidP="00862DD5">
    <w:pPr>
      <w:pStyle w:val="Footer"/>
    </w:pPr>
    <w:r>
      <w:t>©SkillsFuture Singapore and Infocomm Media Development Authority</w:t>
    </w:r>
  </w:p>
  <w:p w14:paraId="08686D11" w14:textId="1E92FE58" w:rsidR="00EF0AEC" w:rsidRDefault="00862DD5" w:rsidP="00862DD5">
    <w:pPr>
      <w:pStyle w:val="Footer"/>
    </w:pPr>
    <w:r>
      <w:t xml:space="preserve">Effective Date: </w:t>
    </w:r>
    <w:r w:rsidR="00144799">
      <w:t>January</w:t>
    </w:r>
    <w:r>
      <w:t xml:space="preserve"> 20</w:t>
    </w:r>
    <w:r w:rsidR="00144799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E50C90">
      <w:rPr>
        <w:noProof/>
      </w:rPr>
      <w:t>3</w:t>
    </w:r>
    <w:r w:rsidR="00EF0AEC">
      <w:fldChar w:fldCharType="end"/>
    </w:r>
    <w:r w:rsidR="00EF0AEC">
      <w:t xml:space="preserve"> of </w:t>
    </w:r>
    <w:r w:rsidR="00EA2F73">
      <w:fldChar w:fldCharType="begin"/>
    </w:r>
    <w:r w:rsidR="00EA2F73">
      <w:instrText xml:space="preserve"> NUMPAGES   \* MERGEFORMAT </w:instrText>
    </w:r>
    <w:r w:rsidR="00EA2F73">
      <w:fldChar w:fldCharType="separate"/>
    </w:r>
    <w:r w:rsidR="00E50C90">
      <w:rPr>
        <w:noProof/>
      </w:rPr>
      <w:t>3</w:t>
    </w:r>
    <w:r w:rsidR="00EA2F73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F15AA" w14:textId="77777777" w:rsidR="00EA2F73" w:rsidRDefault="00EA2F73" w:rsidP="006B04D1">
      <w:pPr>
        <w:spacing w:after="0" w:line="240" w:lineRule="auto"/>
      </w:pPr>
      <w:r>
        <w:separator/>
      </w:r>
    </w:p>
  </w:footnote>
  <w:footnote w:type="continuationSeparator" w:id="0">
    <w:p w14:paraId="34BE6D8B" w14:textId="77777777" w:rsidR="00EA2F73" w:rsidRDefault="00EA2F73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292C4" w14:textId="5CA76B3A" w:rsidR="00862DD5" w:rsidRDefault="00B04D2B" w:rsidP="00862DD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DC98795" wp14:editId="50B1ED2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6471"/>
    <w:rsid w:val="001078F3"/>
    <w:rsid w:val="001111A3"/>
    <w:rsid w:val="00111CA9"/>
    <w:rsid w:val="001216F5"/>
    <w:rsid w:val="001226BD"/>
    <w:rsid w:val="00127BAE"/>
    <w:rsid w:val="00144799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12F24"/>
    <w:rsid w:val="003218C6"/>
    <w:rsid w:val="0034372F"/>
    <w:rsid w:val="00354C84"/>
    <w:rsid w:val="00363EDE"/>
    <w:rsid w:val="00371A0E"/>
    <w:rsid w:val="00375AF9"/>
    <w:rsid w:val="00377F3E"/>
    <w:rsid w:val="003852D9"/>
    <w:rsid w:val="00395253"/>
    <w:rsid w:val="003C162F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526CE"/>
    <w:rsid w:val="005832E5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B04D1"/>
    <w:rsid w:val="006B279F"/>
    <w:rsid w:val="006B68E8"/>
    <w:rsid w:val="006B6ED1"/>
    <w:rsid w:val="006C0364"/>
    <w:rsid w:val="006C6498"/>
    <w:rsid w:val="006D0E3F"/>
    <w:rsid w:val="006F4BC8"/>
    <w:rsid w:val="00701EBA"/>
    <w:rsid w:val="00702DFA"/>
    <w:rsid w:val="00713E01"/>
    <w:rsid w:val="00714349"/>
    <w:rsid w:val="00716D8E"/>
    <w:rsid w:val="00717D2B"/>
    <w:rsid w:val="00733D93"/>
    <w:rsid w:val="00737C7A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F6A56"/>
    <w:rsid w:val="00802174"/>
    <w:rsid w:val="008046B2"/>
    <w:rsid w:val="00813ADD"/>
    <w:rsid w:val="00846DF4"/>
    <w:rsid w:val="008504A1"/>
    <w:rsid w:val="00852863"/>
    <w:rsid w:val="00862A70"/>
    <w:rsid w:val="00862DD5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C7ABA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51B6E"/>
    <w:rsid w:val="00A66D4C"/>
    <w:rsid w:val="00A81BDC"/>
    <w:rsid w:val="00A832A5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04D2B"/>
    <w:rsid w:val="00B12286"/>
    <w:rsid w:val="00B1229C"/>
    <w:rsid w:val="00B12D1F"/>
    <w:rsid w:val="00B31EAB"/>
    <w:rsid w:val="00B34A77"/>
    <w:rsid w:val="00B661A9"/>
    <w:rsid w:val="00B70B9B"/>
    <w:rsid w:val="00B73733"/>
    <w:rsid w:val="00B73BC3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1059A"/>
    <w:rsid w:val="00D11B4D"/>
    <w:rsid w:val="00D146A0"/>
    <w:rsid w:val="00D46BAC"/>
    <w:rsid w:val="00D54E46"/>
    <w:rsid w:val="00D6069D"/>
    <w:rsid w:val="00D64908"/>
    <w:rsid w:val="00D71BE1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0C90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A2F73"/>
    <w:rsid w:val="00EB7662"/>
    <w:rsid w:val="00EE22A1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C1DCCC41-B9DC-4AA2-8B00-4E7DDCB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0DC4E-EE12-47BE-952C-64400A25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13</cp:revision>
  <cp:lastPrinted>2017-01-17T10:44:00Z</cp:lastPrinted>
  <dcterms:created xsi:type="dcterms:W3CDTF">2017-07-27T09:36:00Z</dcterms:created>
  <dcterms:modified xsi:type="dcterms:W3CDTF">2020-02-28T06:21:00Z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2020-02-28T06:21:50.2059536Z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b95b8486-e4ed-46cd-98f4-8d2ece6da676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2020-02-28T06:21:50.2059536Z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b95b8486-e4ed-46cd-98f4-8d2ece6da676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