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&amp; 10/27 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1·2차 섭취율 실측</w:t>
              <w:br/>
              <w:t>• 10/20 1차: 미끼B 10개 완식(100%), 미끼C 3개(30%), 기타 각 1개(10%)</w:t>
              <w:br/>
              <w:t>• 10/27 2차(대군집 7두 출현): 고형사료 10개(지표 5+매립 5) 100% 완식, 미끼틀 0% 미접근</w:t>
              <w:br/>
              <w:t>• 10/20~27 멧돼지 17건(최대 7두 군집), 오소리 32건(10/27 13건 등) 관찰 / 24시간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1차실측 ➔ 10/25 보충 ➔ 10/27 2차실측(고형사료 100% 완식) 실증 (현장사진 30장, 영상 49건)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