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60" w:line="240"/>
      </w:pPr>
      <w:r>
        <w:rPr>
          <w:rFonts w:ascii="Arial" w:cs="Arial" w:eastAsia="Arial" w:hAnsi="Arial"/>
          <w:b/>
          <w:bCs/>
          <w:color w:val="000000"/>
          <w:sz w:val="30"/>
          <w:szCs w:val="30"/>
        </w:rPr>
        <w:t xml:space="preserve">Task 1: Design of Data Warehouse</w:t>
      </w:r>
    </w:p>
    <w:p>
      <w:pPr>
        <w:pStyle w:val="Heading2"/>
        <w:spacing w:after="140" w:before="260" w:line="240"/>
      </w:pPr>
      <w:r>
        <w:rPr>
          <w:rFonts w:ascii="Arial" w:cs="Arial" w:eastAsia="Arial" w:hAnsi="Arial"/>
          <w:b/>
          <w:bCs/>
          <w:color w:val="000000"/>
          <w:sz w:val="26"/>
          <w:szCs w:val="26"/>
        </w:rPr>
        <w:t xml:space="preserve">1.1  Logical Design</w:t>
      </w:r>
    </w:p>
    <w:p>
      <w:pPr>
        <w:pStyle w:val="Heading3"/>
        <w:spacing w:after="140" w:before="260" w:line="240"/>
      </w:pPr>
      <w:r>
        <w:rPr>
          <w:rFonts w:ascii="Arial" w:cs="Arial" w:eastAsia="Arial" w:hAnsi="Arial"/>
          <w:b/>
          <w:bCs/>
          <w:color w:val="000000"/>
          <w:sz w:val="23"/>
          <w:szCs w:val="23"/>
        </w:rPr>
        <w:t xml:space="preserve">1.1.1  Overview</w:t>
      </w:r>
    </w:p>
    <w:p>
      <w:pPr>
        <w:spacing w:after="120" w:line="240"/>
      </w:pPr>
      <w:r>
        <w:rPr>
          <w:rFonts w:ascii="Times New Roman" w:cs="Times New Roman" w:eastAsia="Times New Roman" w:hAnsi="Times New Roman"/>
          <w:sz w:val="22"/>
          <w:szCs w:val="22"/>
        </w:rPr>
        <w:t xml:space="preserve">The operational database being transformed is the 88 Speedmart grocery retail system developed for the Advanced Database Management assignment. That system comprises twenty-one normalised tables covering ordering, payment, delivery, returns, loyalty points, promotions, branch stock and membership.</w:t>
      </w:r>
    </w:p>
    <w:p>
      <w:pPr>
        <w:spacing w:after="120" w:line="240"/>
      </w:pPr>
      <w:r>
        <w:rPr>
          <w:rFonts w:ascii="Times New Roman" w:cs="Times New Roman" w:eastAsia="Times New Roman" w:hAnsi="Times New Roman"/>
          <w:sz w:val="22"/>
          <w:szCs w:val="22"/>
        </w:rPr>
        <w:t xml:space="preserve">The warehouse is modelled as a fact constellation, also known as a galaxy schema, consisting of eight dimension tables and four fact tables. A constellation rather than a single star is appropriate here because the business runs four distinct measurable processes — selling, returning, delivering and awarding loyalty points — that share the same descriptive context. Modelling them as separate facts around a common set of dimensions avoids the mixed-grain fact table that would result from forcing them together, while still allowing them to be analysed side by side.</w:t>
      </w:r>
    </w:p>
    <w:p>
      <w:pPr>
        <w:spacing w:after="120" w:line="240"/>
      </w:pPr>
      <w:r>
        <w:rPr>
          <w:rFonts w:ascii="Times New Roman" w:cs="Times New Roman" w:eastAsia="Times New Roman" w:hAnsi="Times New Roman"/>
          <w:sz w:val="22"/>
          <w:szCs w:val="22"/>
        </w:rPr>
        <w:t xml:space="preserve">Every dimension carries a system-generated surrogate key as its primary key, and retains its operational identifier as a foreign key back to the source table. Surrogate keys insulate the warehouse from changes to operational key formats and are what make Type 2 history possible, since one operational customer must be able to occupy several dimension rows.</w:t>
      </w:r>
    </w:p>
    <w:p>
      <w:pPr>
        <w:pStyle w:val="Heading3"/>
        <w:spacing w:after="140" w:before="260" w:line="240"/>
      </w:pPr>
      <w:r>
        <w:rPr>
          <w:rFonts w:ascii="Arial" w:cs="Arial" w:eastAsia="Arial" w:hAnsi="Arial"/>
          <w:b/>
          <w:bCs/>
          <w:color w:val="000000"/>
          <w:sz w:val="23"/>
          <w:szCs w:val="23"/>
        </w:rPr>
        <w:t xml:space="preserve">1.1.2  Star Schema Diagram</w:t>
      </w:r>
    </w:p>
    <w:p>
      <w:pPr>
        <w:spacing w:after="40" w:line="240"/>
        <w:jc w:val="center"/>
      </w:pPr>
      <w:r>
        <w:rPr>
          <w:rFonts w:ascii="Times New Roman" w:cs="Times New Roman" w:eastAsia="Times New Roman" w:hAnsi="Times New Roman"/>
          <w:b/>
          <w:bCs/>
          <w:color w:val="808080"/>
          <w:sz w:val="22"/>
          <w:szCs w:val="22"/>
        </w:rPr>
        <w:t xml:space="preserve">[ INSERT STAR SCHEMA DIAGRAM HERE ]</w:t>
      </w:r>
    </w:p>
    <w:p>
      <w:pPr>
        <w:spacing w:after="120" w:line="240"/>
        <w:jc w:val="center"/>
      </w:pPr>
      <w:r>
        <w:rPr>
          <w:rFonts w:ascii="Times New Roman" w:cs="Times New Roman" w:eastAsia="Times New Roman" w:hAnsi="Times New Roman"/>
          <w:i/>
          <w:iCs/>
          <w:color w:val="808080"/>
          <w:sz w:val="20"/>
          <w:szCs w:val="20"/>
        </w:rPr>
        <w:t xml:space="preserve">(Delete this placeholder once the diagram image has been inserted.)</w:t>
      </w:r>
    </w:p>
    <w:p>
      <w:pPr>
        <w:spacing w:after="240" w:before="80" w:line="240"/>
        <w:jc w:val="center"/>
      </w:pPr>
      <w:r>
        <w:rPr>
          <w:rFonts w:ascii="Times New Roman" w:cs="Times New Roman" w:eastAsia="Times New Roman" w:hAnsi="Times New Roman"/>
          <w:i/>
          <w:iCs/>
          <w:sz w:val="20"/>
          <w:szCs w:val="20"/>
        </w:rPr>
        <w:t xml:space="preserve">Figure 1.1  Fact constellation schema for the 88 Speedmart data warehouse</w:t>
      </w:r>
    </w:p>
    <w:p>
      <w:pPr>
        <w:pStyle w:val="Heading3"/>
        <w:spacing w:after="140" w:before="260" w:line="240"/>
      </w:pPr>
      <w:r>
        <w:rPr>
          <w:rFonts w:ascii="Arial" w:cs="Arial" w:eastAsia="Arial" w:hAnsi="Arial"/>
          <w:b/>
          <w:bCs/>
          <w:color w:val="000000"/>
          <w:sz w:val="23"/>
          <w:szCs w:val="23"/>
        </w:rPr>
        <w:t xml:space="preserve">1.1.3  Conformed Dimension Bus Matrix</w:t>
      </w:r>
    </w:p>
    <w:p>
      <w:pPr>
        <w:spacing w:after="120" w:line="240"/>
      </w:pPr>
      <w:r>
        <w:rPr>
          <w:rFonts w:ascii="Times New Roman" w:cs="Times New Roman" w:eastAsia="Times New Roman" w:hAnsi="Times New Roman"/>
          <w:sz w:val="22"/>
          <w:szCs w:val="22"/>
        </w:rPr>
        <w:t xml:space="preserve">The bus matrix below records which dimension is shared by which fact table. A dimension is conformed when it is a single physical table whose keys and meaning are identical in every fact that references it, which is what permits results from different facts to be compared on the same rows.</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020"/>
        <w:gridCol w:w="1750"/>
        <w:gridCol w:w="1750"/>
        <w:gridCol w:w="1750"/>
        <w:gridCol w:w="1750"/>
      </w:tblGrid>
      <w:tr>
        <w:trPr>
          <w:tblHeader/>
        </w:trPr>
        <w:tc>
          <w:tcPr>
            <w:tcW w:type="dxa" w:w="20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6"/>
                <w:szCs w:val="16"/>
              </w:rPr>
              <w:t xml:space="preserve">Dimension</w:t>
            </w:r>
          </w:p>
        </w:tc>
        <w:tc>
          <w:tcPr>
            <w:tcW w:type="dxa" w:w="175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6"/>
                <w:szCs w:val="16"/>
              </w:rPr>
              <w:t xml:space="preserve">SALES_FACT</w:t>
            </w:r>
          </w:p>
        </w:tc>
        <w:tc>
          <w:tcPr>
            <w:tcW w:type="dxa" w:w="175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6"/>
                <w:szCs w:val="16"/>
              </w:rPr>
              <w:t xml:space="preserve">RETURN_FACT</w:t>
            </w:r>
          </w:p>
        </w:tc>
        <w:tc>
          <w:tcPr>
            <w:tcW w:type="dxa" w:w="175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6"/>
                <w:szCs w:val="16"/>
              </w:rPr>
              <w:t xml:space="preserve">DELIVERY_FACT</w:t>
            </w:r>
          </w:p>
        </w:tc>
        <w:tc>
          <w:tcPr>
            <w:tcW w:type="dxa" w:w="175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6"/>
                <w:szCs w:val="16"/>
              </w:rPr>
              <w:t xml:space="preserve">POINT_FACT</w:t>
            </w:r>
          </w:p>
        </w:tc>
      </w:tr>
      <w:tr>
        <w:tc>
          <w:tcPr>
            <w:tcW w:type="dxa" w:w="20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DATE_DIM</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order_date_key</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return_date_key, order_date_key</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delivery_date_key, order_date_key</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trans_date_key</w:t>
            </w:r>
          </w:p>
        </w:tc>
      </w:tr>
      <w:tr>
        <w:tc>
          <w:tcPr>
            <w:tcW w:type="dxa" w:w="20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CUSTOMER_DIM (Type 2)</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r>
      <w:tr>
        <w:tc>
          <w:tcPr>
            <w:tcW w:type="dxa" w:w="20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ITEM_DIM</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r>
      <w:tr>
        <w:tc>
          <w:tcPr>
            <w:tcW w:type="dxa" w:w="20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BRANCH_DIM</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r>
      <w:tr>
        <w:tc>
          <w:tcPr>
            <w:tcW w:type="dxa" w:w="20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PROMOTION_DIM</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r>
      <w:tr>
        <w:tc>
          <w:tcPr>
            <w:tcW w:type="dxa" w:w="20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RETURN_REASON_DIM</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r>
      <w:tr>
        <w:tc>
          <w:tcPr>
            <w:tcW w:type="dxa" w:w="20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ADDRESS_DIM</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r>
      <w:tr>
        <w:tc>
          <w:tcPr>
            <w:tcW w:type="dxa" w:w="20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DELIVERY_COMPANY_DIM</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w:t>
            </w:r>
          </w:p>
        </w:tc>
        <w:tc>
          <w:tcPr>
            <w:tcW w:type="dxa" w:w="175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r>
    </w:tbl>
    <w:p>
      <w:pPr>
        <w:spacing w:after="240" w:before="80" w:line="240"/>
        <w:jc w:val="center"/>
      </w:pPr>
      <w:r>
        <w:rPr>
          <w:rFonts w:ascii="Times New Roman" w:cs="Times New Roman" w:eastAsia="Times New Roman" w:hAnsi="Times New Roman"/>
          <w:i/>
          <w:iCs/>
          <w:sz w:val="20"/>
          <w:szCs w:val="20"/>
        </w:rPr>
        <w:t xml:space="preserve">Table 1.1  Conformed dimension bus matrix</w:t>
      </w:r>
    </w:p>
    <w:p>
      <w:pPr>
        <w:spacing w:after="120" w:line="240"/>
      </w:pPr>
      <w:r>
        <w:rPr>
          <w:rFonts w:ascii="Times New Roman" w:cs="Times New Roman" w:eastAsia="Times New Roman" w:hAnsi="Times New Roman"/>
          <w:sz w:val="22"/>
          <w:szCs w:val="22"/>
        </w:rPr>
        <w:t xml:space="preserve">DATE_DIM, CUSTOMER_DIM and BRANCH_DIM are shared by all four fact tables; ITEM_DIM and PROMOTION_DIM by two. DATE_DIM is additionally a role-playing dimension, referenced five times in total across the four facts.</w:t>
      </w:r>
    </w:p>
    <w:p>
      <w:pPr>
        <w:pStyle w:val="Heading3"/>
        <w:spacing w:after="140" w:before="260" w:line="240"/>
      </w:pPr>
      <w:r>
        <w:rPr>
          <w:rFonts w:ascii="Arial" w:cs="Arial" w:eastAsia="Arial" w:hAnsi="Arial"/>
          <w:b/>
          <w:bCs/>
          <w:color w:val="000000"/>
          <w:sz w:val="23"/>
          <w:szCs w:val="23"/>
        </w:rPr>
        <w:t xml:space="preserve">1.1.4  Fact Table Grain</w:t>
      </w:r>
    </w:p>
    <w:p>
      <w:pPr>
        <w:spacing w:after="120" w:line="240"/>
      </w:pPr>
      <w:r>
        <w:rPr>
          <w:rFonts w:ascii="Times New Roman" w:cs="Times New Roman" w:eastAsia="Times New Roman" w:hAnsi="Times New Roman"/>
          <w:sz w:val="22"/>
          <w:szCs w:val="22"/>
        </w:rPr>
        <w:t xml:space="preserve">The grain of a fact table is the precise meaning of a single row, and it is declared before any measure is chosen. All four facts are transaction facts recorded at atomic grain, so no aggregation is performed during loading and any summary required for reporting can be derived by query.</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1700"/>
        <w:gridCol w:w="2560"/>
        <w:gridCol w:w="2560"/>
      </w:tblGrid>
      <w:tr>
        <w:trPr>
          <w:tblHeader/>
        </w:trPr>
        <w:tc>
          <w:tcPr>
            <w:tcW w:type="dxa" w:w="22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Fact table</w:t>
            </w:r>
          </w:p>
        </w:tc>
        <w:tc>
          <w:tcPr>
            <w:tcW w:type="dxa" w:w="17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Fact type</w:t>
            </w:r>
          </w:p>
        </w:tc>
        <w:tc>
          <w:tcPr>
            <w:tcW w:type="dxa" w:w="256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Grain — one row per</w:t>
            </w:r>
          </w:p>
        </w:tc>
        <w:tc>
          <w:tcPr>
            <w:tcW w:type="dxa" w:w="256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Primary source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SALES_FACT</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Transaction</w:t>
            </w:r>
          </w:p>
        </w:tc>
        <w:tc>
          <w:tcPr>
            <w:tcW w:type="dxa" w:w="25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 line per order</w:t>
            </w:r>
          </w:p>
        </w:tc>
        <w:tc>
          <w:tcPr>
            <w:tcW w:type="dxa" w:w="25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OrderDetails</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RETURN_FACT</w:t>
            </w:r>
          </w:p>
        </w:tc>
        <w:tc>
          <w:tcPr>
            <w:tcW w:type="dxa" w:w="1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Transaction</w:t>
            </w:r>
          </w:p>
        </w:tc>
        <w:tc>
          <w:tcPr>
            <w:tcW w:type="dxa" w:w="256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returned item line</w:t>
            </w:r>
          </w:p>
        </w:tc>
        <w:tc>
          <w:tcPr>
            <w:tcW w:type="dxa" w:w="256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ReturnDetails</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DELIVERY_FACT</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Transaction</w:t>
            </w:r>
          </w:p>
        </w:tc>
        <w:tc>
          <w:tcPr>
            <w:tcW w:type="dxa" w:w="25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w:t>
            </w:r>
          </w:p>
        </w:tc>
        <w:tc>
          <w:tcPr>
            <w:tcW w:type="dxa" w:w="25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POINT_FACT</w:t>
            </w:r>
          </w:p>
        </w:tc>
        <w:tc>
          <w:tcPr>
            <w:tcW w:type="dxa" w:w="1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Transaction</w:t>
            </w:r>
          </w:p>
        </w:tc>
        <w:tc>
          <w:tcPr>
            <w:tcW w:type="dxa" w:w="256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loyalty point transaction</w:t>
            </w:r>
          </w:p>
        </w:tc>
        <w:tc>
          <w:tcPr>
            <w:tcW w:type="dxa" w:w="256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PointTransaction</w:t>
            </w:r>
          </w:p>
        </w:tc>
      </w:tr>
    </w:tbl>
    <w:p>
      <w:pPr>
        <w:spacing w:after="240" w:before="80" w:line="240"/>
        <w:jc w:val="center"/>
      </w:pPr>
      <w:r>
        <w:rPr>
          <w:rFonts w:ascii="Times New Roman" w:cs="Times New Roman" w:eastAsia="Times New Roman" w:hAnsi="Times New Roman"/>
          <w:i/>
          <w:iCs/>
          <w:sz w:val="20"/>
          <w:szCs w:val="20"/>
        </w:rPr>
        <w:t xml:space="preserve">Table 1.2  Declared grain of each fact table</w:t>
      </w:r>
    </w:p>
    <w:p>
      <w:pPr>
        <w:pStyle w:val="Heading3"/>
        <w:spacing w:after="140" w:before="260" w:line="240"/>
      </w:pPr>
      <w:r>
        <w:rPr>
          <w:rFonts w:ascii="Arial" w:cs="Arial" w:eastAsia="Arial" w:hAnsi="Arial"/>
          <w:b/>
          <w:bCs/>
          <w:color w:val="000000"/>
          <w:sz w:val="23"/>
          <w:szCs w:val="23"/>
        </w:rPr>
        <w:t xml:space="preserve">1.1.5  Dimension Tables</w:t>
      </w:r>
    </w:p>
    <w:p>
      <w:pPr>
        <w:spacing w:after="120" w:line="240"/>
      </w:pPr>
      <w:r>
        <w:rPr>
          <w:rFonts w:ascii="Times New Roman" w:cs="Times New Roman" w:eastAsia="Times New Roman" w:hAnsi="Times New Roman"/>
          <w:sz w:val="22"/>
          <w:szCs w:val="22"/>
        </w:rPr>
        <w:t xml:space="preserve">Each dimension is denormalised: parent lookup tables in the operational system are flattened into the dimension that references them, rather than being retained as separate tables. This avoids a snowflake schema and reduces the number of joins a reporting query must perform.</w:t>
      </w:r>
    </w:p>
    <w:p>
      <w:pPr>
        <w:spacing w:after="120" w:line="240"/>
      </w:pPr>
      <w:r>
        <w:rPr>
          <w:rFonts w:ascii="Times New Roman" w:cs="Times New Roman" w:eastAsia="Times New Roman" w:hAnsi="Times New Roman"/>
          <w:sz w:val="22"/>
          <w:szCs w:val="22"/>
        </w:rPr>
        <w:t xml:space="preserve">Four ETL audit columns are appended to every dimension and fact table and are not repeated in the tables below: etl_batch_id, etl_load_dt, etl_update_dt and dq_flag. The dq_flag records whether a row was loaded cleanly ('V'), scrubbed ('S') or defaulted ('D'), and together these columns provide the audit trail for the incremental loading and data-cleaning work in Task 2.</w:t>
      </w:r>
    </w:p>
    <w:p>
      <w:pPr>
        <w:pStyle w:val="Heading3"/>
        <w:spacing w:after="140" w:before="260" w:line="240"/>
      </w:pPr>
      <w:r>
        <w:rPr>
          <w:rFonts w:ascii="Arial" w:cs="Arial" w:eastAsia="Arial" w:hAnsi="Arial"/>
          <w:b/>
          <w:bCs/>
          <w:color w:val="000000"/>
          <w:sz w:val="23"/>
          <w:szCs w:val="23"/>
        </w:rPr>
        <w:t xml:space="preserve">1.1.5.1  DATE_DIM  —  Generated calendar — day grain (role-playing)</w:t>
      </w:r>
    </w:p>
    <w:p>
      <w:pPr>
        <w:spacing w:after="120" w:line="240"/>
      </w:pPr>
      <w:r>
        <w:rPr>
          <w:rFonts w:ascii="Times New Roman" w:cs="Times New Roman" w:eastAsia="Times New Roman" w:hAnsi="Times New Roman"/>
          <w:sz w:val="22"/>
          <w:szCs w:val="22"/>
        </w:rPr>
        <w:t xml:space="preserve">Pre-generated calendar table referenced five times across the four fact tables: order date, return date, delivery date and point transaction date. One physical table serves every date role, which is why no separate calendar is built per fact. It is the only dimension with no foreign key back to the operational system, because the calendar is generated rather than extracted.</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800"/>
        <w:gridCol w:w="5720"/>
      </w:tblGrid>
      <w:tr>
        <w:trPr>
          <w:tblHeader/>
        </w:trPr>
        <w:tc>
          <w:tcPr>
            <w:tcW w:type="dxa" w:w="2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8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57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date_key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PK</w:t>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Surrogate key in YYYYMMDD "smart key" form. The seeded value -1 represents Unknown.</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cal_date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Calendar date.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full_desc</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Full text description of the date.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day_week</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Day name, e.g. Monday.</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day_num_month</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Day number within the month (1-31).</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day_num_year</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Day number within the year (1-366).</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last_day_ind</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 if the date is the last day of its month, otherwise 'N'.</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cal_week_end_date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 on which the calendar week ends.</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cal_week_year</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Week number within the year (1-53).</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cal_month_name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Month name, e.g. January.</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cal_month_year</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Month number within the year (1-12).</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cal_year_month</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Year and month, e.g. 2026-01.</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cal_quarter</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Calendar quarter, 'Q1' to 'Q4'.</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cal_year_quarter</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Year and quarter, e.g. 2026-Q1.</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cal_year</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Calendar year.</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holiday_ind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 if the date is a public holiday, otherwise 'N'.</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weekday_ind</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 for Monday to Friday, otherwise 'N'.</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festive_event</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Name of the festive event. Defaults to 'None' and is never NULL.</w:t>
            </w:r>
          </w:p>
        </w:tc>
      </w:tr>
    </w:tbl>
    <w:p>
      <w:pPr>
        <w:spacing w:after="240" w:before="80" w:line="240"/>
        <w:jc w:val="center"/>
      </w:pPr>
      <w:r>
        <w:rPr>
          <w:rFonts w:ascii="Times New Roman" w:cs="Times New Roman" w:eastAsia="Times New Roman" w:hAnsi="Times New Roman"/>
          <w:i/>
          <w:iCs/>
          <w:sz w:val="20"/>
          <w:szCs w:val="20"/>
        </w:rPr>
        <w:t xml:space="preserve">Table 1.3  DATE_DIM attributes</w:t>
      </w:r>
    </w:p>
    <w:p>
      <w:pPr>
        <w:pStyle w:val="Heading3"/>
        <w:spacing w:after="140" w:before="260" w:line="240"/>
      </w:pPr>
      <w:r>
        <w:rPr>
          <w:rFonts w:ascii="Arial" w:cs="Arial" w:eastAsia="Arial" w:hAnsi="Arial"/>
          <w:b/>
          <w:bCs/>
          <w:color w:val="000000"/>
          <w:sz w:val="23"/>
          <w:szCs w:val="23"/>
        </w:rPr>
        <w:t xml:space="preserve">1.1.5.2  CUSTOMER_DIM  —  Slowly Changing Dimension Type 2</w:t>
      </w:r>
    </w:p>
    <w:p>
      <w:pPr>
        <w:spacing w:after="120" w:line="240"/>
      </w:pPr>
      <w:r>
        <w:rPr>
          <w:rFonts w:ascii="Times New Roman" w:cs="Times New Roman" w:eastAsia="Times New Roman" w:hAnsi="Times New Roman"/>
          <w:sz w:val="22"/>
          <w:szCs w:val="22"/>
        </w:rPr>
        <w:t xml:space="preserve">Sources Customer, Member and MembershipType. Member is a one-to-one subtype of Customer, so members and walk-in non-members share a single dimension and are separated by memberFlag. This is the Type 2 dimension required by the assignment.</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800"/>
        <w:gridCol w:w="5720"/>
      </w:tblGrid>
      <w:tr>
        <w:trPr>
          <w:tblHeader/>
        </w:trPr>
        <w:tc>
          <w:tcPr>
            <w:tcW w:type="dxa" w:w="2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8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57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customer_key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PK</w:t>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Surrogate key. A new value is generated for every version of a customer.</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Operational identifier, referencing Customer(CustomerID). Deliberately not unique on its own, because one customer has many version rows; uniqueness is (customerID, effective_start_date).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customerName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Customer.Name. Type 1 overwrite — a change corrects the record rather than creating history.</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customerICNo</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Customer.ICNo. Nullable in the source, so it defaults to 'Unknown'. Type 1 overwrite.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customerEmail</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Customer.Email. Nullable in the source, so it defaults to 'Unknown'. Type 1 overwrite.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customerStatus</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Customer.Status — 'Active' or 'Inactive'. Type 2 trigger.</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memberFlag</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'Y' where a matching Member row exists, otherwise 'N'. Type 2 trigger.</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membershipType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MembershipType.TypeName — 'Normal' or 'VIP', or 'Non-Member' where the customer is not a member. Type 2 trigger.</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annualFee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MembershipType.AnnualFee; 0 for non-members.</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pointEarnRate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MembershipType.PointEarnRate; 0 for non-members. Normal earns 1 point per RM, VIP earns 2.</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membershipExpiry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Member.MembershipExpiry. Type 1 overwrite.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effective_start_date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 from which this version of the customer is valid.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effective_end_date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 until which this version is valid. Defaults to 9999-12-31 for the current version so the column is never NULL.</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is_current_flag</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 on the current version, 'N' on all superseded versions. Used as the fast filter for current-state reporting.</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version_no</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Sequential version number for the customer, starting at 1.</w:t>
            </w:r>
          </w:p>
        </w:tc>
      </w:tr>
    </w:tbl>
    <w:p>
      <w:pPr>
        <w:spacing w:after="240" w:before="80" w:line="240"/>
        <w:jc w:val="center"/>
      </w:pPr>
      <w:r>
        <w:rPr>
          <w:rFonts w:ascii="Times New Roman" w:cs="Times New Roman" w:eastAsia="Times New Roman" w:hAnsi="Times New Roman"/>
          <w:i/>
          <w:iCs/>
          <w:sz w:val="20"/>
          <w:szCs w:val="20"/>
        </w:rPr>
        <w:t xml:space="preserve">Table 1.4  CUSTOMER_DIM attributes</w:t>
      </w:r>
    </w:p>
    <w:p>
      <w:pPr>
        <w:pStyle w:val="Heading3"/>
        <w:spacing w:after="140" w:before="260" w:line="240"/>
      </w:pPr>
      <w:r>
        <w:rPr>
          <w:rFonts w:ascii="Arial" w:cs="Arial" w:eastAsia="Arial" w:hAnsi="Arial"/>
          <w:b/>
          <w:bCs/>
          <w:color w:val="000000"/>
          <w:sz w:val="23"/>
          <w:szCs w:val="23"/>
        </w:rPr>
        <w:t xml:space="preserve">1.1.5.3  ITEM_DIM  —  Slowly Changing Dimension Type 1</w:t>
      </w:r>
    </w:p>
    <w:p>
      <w:pPr>
        <w:spacing w:after="120" w:line="240"/>
      </w:pPr>
      <w:r>
        <w:rPr>
          <w:rFonts w:ascii="Times New Roman" w:cs="Times New Roman" w:eastAsia="Times New Roman" w:hAnsi="Times New Roman"/>
          <w:sz w:val="22"/>
          <w:szCs w:val="22"/>
        </w:rPr>
        <w:t xml:space="preserve">Sources Item, Category and Supplier. Item to Category and Item to Supplier are both many-to-one relationships, so both parents are flattened into this dimension rather than snowflaked into separate tables.</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800"/>
        <w:gridCol w:w="5720"/>
      </w:tblGrid>
      <w:tr>
        <w:trPr>
          <w:tblHeader/>
        </w:trPr>
        <w:tc>
          <w:tcPr>
            <w:tcW w:type="dxa" w:w="2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8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57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item_key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PK</w:t>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Surrogate key.</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Operational identifier, referencing Item(ItemID).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itemName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Item.ItemName.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itemUnitPrice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Item.UnitPrice — the current catalogue selling price. Enables realised price to be measured against list price.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itemStatus</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Item.Status — 'Pending QC', 'Active' or 'Discontinued'.</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categoryID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Category.CategoryID.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categoryName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Category.CategoryName.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supplierID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Supplier.SupplierID. Retained because Supplier.SupplierName carries no UNIQUE constraint in the source and therefore cannot safely be used on its own as a grouping key.</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supplierName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Supplier.SupplierName.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supplierContactNo</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Supplier.ContactNo.</w:t>
            </w:r>
          </w:p>
        </w:tc>
      </w:tr>
    </w:tbl>
    <w:p>
      <w:pPr>
        <w:spacing w:after="240" w:before="80" w:line="240"/>
        <w:jc w:val="center"/>
      </w:pPr>
      <w:r>
        <w:rPr>
          <w:rFonts w:ascii="Times New Roman" w:cs="Times New Roman" w:eastAsia="Times New Roman" w:hAnsi="Times New Roman"/>
          <w:i/>
          <w:iCs/>
          <w:sz w:val="20"/>
          <w:szCs w:val="20"/>
        </w:rPr>
        <w:t xml:space="preserve">Table 1.5  ITEM_DIM attributes</w:t>
      </w:r>
    </w:p>
    <w:p>
      <w:pPr>
        <w:pStyle w:val="Heading3"/>
        <w:spacing w:after="140" w:before="260" w:line="240"/>
      </w:pPr>
      <w:r>
        <w:rPr>
          <w:rFonts w:ascii="Arial" w:cs="Arial" w:eastAsia="Arial" w:hAnsi="Arial"/>
          <w:b/>
          <w:bCs/>
          <w:color w:val="000000"/>
          <w:sz w:val="23"/>
          <w:szCs w:val="23"/>
        </w:rPr>
        <w:t xml:space="preserve">1.1.5.4  BRANCH_DIM  —  Slowly Changing Dimension Type 1</w:t>
      </w:r>
    </w:p>
    <w:p>
      <w:pPr>
        <w:spacing w:after="120" w:line="240"/>
      </w:pPr>
      <w:r>
        <w:rPr>
          <w:rFonts w:ascii="Times New Roman" w:cs="Times New Roman" w:eastAsia="Times New Roman" w:hAnsi="Times New Roman"/>
          <w:sz w:val="22"/>
          <w:szCs w:val="22"/>
        </w:rPr>
        <w:t xml:space="preserve">Sources Branch, which holds only four columns: BranchID, City, State and ContactNo. Two attributes are therefore derived by the ETL. The seeded row branch_key = -1 represents 'Unknown / Not Applicable' and is used by POINT_FACT for point redemptions, which carry no order and therefore no branch.</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800"/>
        <w:gridCol w:w="5720"/>
      </w:tblGrid>
      <w:tr>
        <w:trPr>
          <w:tblHeader/>
        </w:trPr>
        <w:tc>
          <w:tcPr>
            <w:tcW w:type="dxa" w:w="2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8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57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branch_key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PK</w:t>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Surrogate key. The seeded value -1 represents Unknown / Not Applicable.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Operational identifier, referencing Branch(BranchID).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branchName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branchCity concatenated with ' Branch'. The source holds no branch name column.</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branchCity</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Branch.City.</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branchState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Branch.State. The source constrains this to the sixteen Malaysian states and federal territories.</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branchRegion</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from branchState using the documented mapping in Table 1.7.</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branchContactNo</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Branch.ContactNo.</w:t>
            </w:r>
          </w:p>
        </w:tc>
      </w:tr>
    </w:tbl>
    <w:p>
      <w:pPr>
        <w:spacing w:after="240" w:before="80" w:line="240"/>
        <w:jc w:val="center"/>
      </w:pPr>
      <w:r>
        <w:rPr>
          <w:rFonts w:ascii="Times New Roman" w:cs="Times New Roman" w:eastAsia="Times New Roman" w:hAnsi="Times New Roman"/>
          <w:i/>
          <w:iCs/>
          <w:sz w:val="20"/>
          <w:szCs w:val="20"/>
        </w:rPr>
        <w:t xml:space="preserve">Table 1.6  BRANCH_DIM attributes</w:t>
      </w:r>
    </w:p>
    <w:p>
      <w:pPr>
        <w:spacing w:after="120" w:line="240"/>
      </w:pPr>
      <w:r>
        <w:rPr>
          <w:rFonts w:ascii="Times New Roman" w:cs="Times New Roman" w:eastAsia="Times New Roman" w:hAnsi="Times New Roman"/>
          <w:sz w:val="22"/>
          <w:szCs w:val="22"/>
        </w:rPr>
        <w:t xml:space="preserve">The region mapping applied to branchState, and to addressState in ADDRESS_DIM, is as follows. It covers all sixteen states and federal territories permitted by the source constraint.</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6820"/>
      </w:tblGrid>
      <w:tr>
        <w:trPr>
          <w:tblHeader/>
        </w:trPr>
        <w:tc>
          <w:tcPr>
            <w:tcW w:type="dxa" w:w="22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Region</w:t>
            </w:r>
          </w:p>
        </w:tc>
        <w:tc>
          <w:tcPr>
            <w:tcW w:type="dxa" w:w="68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States and federal territories</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Northern</w:t>
            </w:r>
          </w:p>
        </w:tc>
        <w:tc>
          <w:tcPr>
            <w:tcW w:type="dxa" w:w="68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Perlis, Kedah, Pulau Pinang, Perak</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Central</w:t>
            </w:r>
          </w:p>
        </w:tc>
        <w:tc>
          <w:tcPr>
            <w:tcW w:type="dxa" w:w="68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Selangor, Kuala Lumpur, Putrajaya, Negeri Sembilan</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Southern</w:t>
            </w:r>
          </w:p>
        </w:tc>
        <w:tc>
          <w:tcPr>
            <w:tcW w:type="dxa" w:w="68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Melaka, Johor</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East Coast</w:t>
            </w:r>
          </w:p>
        </w:tc>
        <w:tc>
          <w:tcPr>
            <w:tcW w:type="dxa" w:w="68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Pahang, Terengganu, Kelantan</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East Malaysia</w:t>
            </w:r>
          </w:p>
        </w:tc>
        <w:tc>
          <w:tcPr>
            <w:tcW w:type="dxa" w:w="68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Sabah, Sarawak, Labuan</w:t>
            </w:r>
          </w:p>
        </w:tc>
      </w:tr>
    </w:tbl>
    <w:p>
      <w:pPr>
        <w:spacing w:after="240" w:before="80" w:line="240"/>
        <w:jc w:val="center"/>
      </w:pPr>
      <w:r>
        <w:rPr>
          <w:rFonts w:ascii="Times New Roman" w:cs="Times New Roman" w:eastAsia="Times New Roman" w:hAnsi="Times New Roman"/>
          <w:i/>
          <w:iCs/>
          <w:sz w:val="20"/>
          <w:szCs w:val="20"/>
        </w:rPr>
        <w:t xml:space="preserve">Table 1.7  State to region mapping</w:t>
      </w:r>
    </w:p>
    <w:p>
      <w:pPr>
        <w:pStyle w:val="Heading3"/>
        <w:spacing w:after="140" w:before="260" w:line="240"/>
      </w:pPr>
      <w:r>
        <w:rPr>
          <w:rFonts w:ascii="Arial" w:cs="Arial" w:eastAsia="Arial" w:hAnsi="Arial"/>
          <w:b/>
          <w:bCs/>
          <w:color w:val="000000"/>
          <w:sz w:val="23"/>
          <w:szCs w:val="23"/>
        </w:rPr>
        <w:t xml:space="preserve">1.1.5.5  ADDRESS_DIM  —  Slowly Changing Dimension Type 1</w:t>
      </w:r>
    </w:p>
    <w:p>
      <w:pPr>
        <w:spacing w:after="120" w:line="240"/>
      </w:pPr>
      <w:r>
        <w:rPr>
          <w:rFonts w:ascii="Times New Roman" w:cs="Times New Roman" w:eastAsia="Times New Roman" w:hAnsi="Times New Roman"/>
          <w:sz w:val="22"/>
          <w:szCs w:val="22"/>
        </w:rPr>
        <w:t xml:space="preserve">Sources MemberAddress and provides ship-to geography for DELIVERY_FACT. The source table holds no City column, so geography is analysed at state, postcode and derived region level. Applying the same region mapping as BRANCH_DIM allows a report to compare the branch that sold an order against the state it shipped to.</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800"/>
        <w:gridCol w:w="5720"/>
      </w:tblGrid>
      <w:tr>
        <w:trPr>
          <w:tblHeader/>
        </w:trPr>
        <w:tc>
          <w:tcPr>
            <w:tcW w:type="dxa" w:w="2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8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57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address_key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PK</w:t>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Surrogate key.</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Operational identifier, referencing MemberAddress(AddressID).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addressLine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MemberAddress.AddressLine.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addressState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MemberAddress.State.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addressPostcode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MemberAddress.Postcode.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addressRegion</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from addressState using the same mapping as BRANCH_DIM.</w:t>
            </w:r>
          </w:p>
        </w:tc>
      </w:tr>
    </w:tbl>
    <w:p>
      <w:pPr>
        <w:spacing w:after="240" w:before="80" w:line="240"/>
        <w:jc w:val="center"/>
      </w:pPr>
      <w:r>
        <w:rPr>
          <w:rFonts w:ascii="Times New Roman" w:cs="Times New Roman" w:eastAsia="Times New Roman" w:hAnsi="Times New Roman"/>
          <w:i/>
          <w:iCs/>
          <w:sz w:val="20"/>
          <w:szCs w:val="20"/>
        </w:rPr>
        <w:t xml:space="preserve">Table 1.8  ADDRESS_DIM attributes</w:t>
      </w:r>
    </w:p>
    <w:p>
      <w:pPr>
        <w:pStyle w:val="Heading3"/>
        <w:spacing w:after="140" w:before="260" w:line="240"/>
      </w:pPr>
      <w:r>
        <w:rPr>
          <w:rFonts w:ascii="Arial" w:cs="Arial" w:eastAsia="Arial" w:hAnsi="Arial"/>
          <w:b/>
          <w:bCs/>
          <w:color w:val="000000"/>
          <w:sz w:val="23"/>
          <w:szCs w:val="23"/>
        </w:rPr>
        <w:t xml:space="preserve">1.1.5.6  PROMOTION_DIM  —  Slowly Changing Dimension Type 1</w:t>
      </w:r>
    </w:p>
    <w:p>
      <w:pPr>
        <w:spacing w:after="120" w:line="240"/>
      </w:pPr>
      <w:r>
        <w:rPr>
          <w:rFonts w:ascii="Times New Roman" w:cs="Times New Roman" w:eastAsia="Times New Roman" w:hAnsi="Times New Roman"/>
          <w:sz w:val="22"/>
          <w:szCs w:val="22"/>
        </w:rPr>
        <w:t xml:space="preserve">Sources Promotion. Two rows are seeded and the distinction between them is deliberate: promo_key = 0 means the sale genuinely carried no promotion, while promo_key = -1 means the promotion reference in the source was dirty and could not be resolved. Collapsing the two into a single value would make promotion coverage unreportable. ItemPromotion.PromoPrice is item-specific and therefore belongs at fact grain; the ETL uses it to derive SALES_FACT.discountAmt and it is not stored here.</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800"/>
        <w:gridCol w:w="5720"/>
      </w:tblGrid>
      <w:tr>
        <w:trPr>
          <w:tblHeader/>
        </w:trPr>
        <w:tc>
          <w:tcPr>
            <w:tcW w:type="dxa" w:w="2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8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57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promo_key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PK</w:t>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Surrogate key. The seeded value 0 represents 'No Promotion' and -1 represents 'Unknown'.</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Operational identifier, referencing Promotion(PromotionID).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promoName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Promotion.PromoName.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discountType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Promotion.DiscountType — 'Percentage' or 'Fixed'.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discountValue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Promotion.DiscountValue.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promoStartDate</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Promotion.StartDate.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promoEndDate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Promotion.EndDate.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promoStatus</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Promotion.Status — 'Active' or 'Inactive'.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promoDurationDays</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promoEndDate minus promoStartDate. Allows campaign length to be compared against uplift.</w:t>
            </w:r>
          </w:p>
        </w:tc>
      </w:tr>
    </w:tbl>
    <w:p>
      <w:pPr>
        <w:spacing w:after="240" w:before="80" w:line="240"/>
        <w:jc w:val="center"/>
      </w:pPr>
      <w:r>
        <w:rPr>
          <w:rFonts w:ascii="Times New Roman" w:cs="Times New Roman" w:eastAsia="Times New Roman" w:hAnsi="Times New Roman"/>
          <w:i/>
          <w:iCs/>
          <w:sz w:val="20"/>
          <w:szCs w:val="20"/>
        </w:rPr>
        <w:t xml:space="preserve">Table 1.9  PROMOTION_DIM attributes</w:t>
      </w:r>
    </w:p>
    <w:p>
      <w:pPr>
        <w:pStyle w:val="Heading3"/>
        <w:spacing w:after="140" w:before="260" w:line="240"/>
      </w:pPr>
      <w:r>
        <w:rPr>
          <w:rFonts w:ascii="Arial" w:cs="Arial" w:eastAsia="Arial" w:hAnsi="Arial"/>
          <w:b/>
          <w:bCs/>
          <w:color w:val="000000"/>
          <w:sz w:val="23"/>
          <w:szCs w:val="23"/>
        </w:rPr>
        <w:t xml:space="preserve">1.1.5.7  RETURN_REASON_DIM  —  Slowly Changing Dimension Type 1</w:t>
      </w:r>
    </w:p>
    <w:p>
      <w:pPr>
        <w:spacing w:after="120" w:line="240"/>
      </w:pPr>
      <w:r>
        <w:rPr>
          <w:rFonts w:ascii="Times New Roman" w:cs="Times New Roman" w:eastAsia="Times New Roman" w:hAnsi="Times New Roman"/>
          <w:sz w:val="22"/>
          <w:szCs w:val="22"/>
        </w:rPr>
        <w:t xml:space="preserve">Sources ReturnReason. The derived reasonCategory separates causes that the business controls from causes that it does not, which is the distinction management needs in order to act on the return rate.</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800"/>
        <w:gridCol w:w="5720"/>
      </w:tblGrid>
      <w:tr>
        <w:trPr>
          <w:tblHeader/>
        </w:trPr>
        <w:tc>
          <w:tcPr>
            <w:tcW w:type="dxa" w:w="2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8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57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reason_key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PK</w:t>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Surrogate key.</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reasonID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Operational identifier, referencing ReturnReason(ReasonID).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reasonName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ReturnReason.ReasonName — 'Missing', 'Broken', 'Expired' or 'Wrong Item'.</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reasonCategory</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'Fulfilment' for Missing and Wrong Item (picking or despatch error); 'Product Quality' for Broken and Expired (stock or supplier issue).</w:t>
            </w:r>
          </w:p>
        </w:tc>
      </w:tr>
    </w:tbl>
    <w:p>
      <w:pPr>
        <w:spacing w:after="240" w:before="80" w:line="240"/>
        <w:jc w:val="center"/>
      </w:pPr>
      <w:r>
        <w:rPr>
          <w:rFonts w:ascii="Times New Roman" w:cs="Times New Roman" w:eastAsia="Times New Roman" w:hAnsi="Times New Roman"/>
          <w:i/>
          <w:iCs/>
          <w:sz w:val="20"/>
          <w:szCs w:val="20"/>
        </w:rPr>
        <w:t xml:space="preserve">Table 1.10  RETURN_REASON_DIM attributes</w:t>
      </w:r>
    </w:p>
    <w:p>
      <w:pPr>
        <w:pStyle w:val="Heading3"/>
        <w:spacing w:after="140" w:before="260" w:line="240"/>
      </w:pPr>
      <w:r>
        <w:rPr>
          <w:rFonts w:ascii="Arial" w:cs="Arial" w:eastAsia="Arial" w:hAnsi="Arial"/>
          <w:b/>
          <w:bCs/>
          <w:color w:val="000000"/>
          <w:sz w:val="23"/>
          <w:szCs w:val="23"/>
        </w:rPr>
        <w:t xml:space="preserve">1.1.5.8  DELIVERY_COMPANY_DIM  —  Slowly Changing Dimension Type 1</w:t>
      </w:r>
    </w:p>
    <w:p>
      <w:pPr>
        <w:spacing w:after="120" w:line="240"/>
      </w:pPr>
      <w:r>
        <w:rPr>
          <w:rFonts w:ascii="Times New Roman" w:cs="Times New Roman" w:eastAsia="Times New Roman" w:hAnsi="Times New Roman"/>
          <w:sz w:val="22"/>
          <w:szCs w:val="22"/>
        </w:rPr>
        <w:t xml:space="preserve">Sources DeliveryCompany and supports courier performance analysis in DELIVERY_FACT.</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800"/>
        <w:gridCol w:w="5720"/>
      </w:tblGrid>
      <w:tr>
        <w:trPr>
          <w:tblHeader/>
        </w:trPr>
        <w:tc>
          <w:tcPr>
            <w:tcW w:type="dxa" w:w="2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8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57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delivery_company_key</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PK</w:t>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Surrogate key.</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deliveryCompanyID</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Operational identifier, referencing DeliveryCompany(DeliveryCompanyID).</w:t>
            </w:r>
          </w:p>
        </w:tc>
      </w:tr>
      <w:tr>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companyName</w:t>
            </w:r>
          </w:p>
        </w:tc>
        <w:tc>
          <w:tcPr>
            <w:tcW w:type="dxa" w:w="8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DeliveryCompany.CompanyName.</w:t>
            </w:r>
          </w:p>
        </w:tc>
      </w:tr>
      <w:tr>
        <w:tc>
          <w:tcPr>
            <w:tcW w:type="dxa" w:w="2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companyContactNo</w:t>
            </w:r>
          </w:p>
        </w:tc>
        <w:tc>
          <w:tcPr>
            <w:tcW w:type="dxa" w:w="8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57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DeliveryCompany.ContactNo.</w:t>
            </w:r>
          </w:p>
        </w:tc>
      </w:tr>
    </w:tbl>
    <w:p>
      <w:pPr>
        <w:spacing w:after="240" w:before="80" w:line="240"/>
        <w:jc w:val="center"/>
      </w:pPr>
      <w:r>
        <w:rPr>
          <w:rFonts w:ascii="Times New Roman" w:cs="Times New Roman" w:eastAsia="Times New Roman" w:hAnsi="Times New Roman"/>
          <w:i/>
          <w:iCs/>
          <w:sz w:val="20"/>
          <w:szCs w:val="20"/>
        </w:rPr>
        <w:t xml:space="preserve">Table 1.11  DELIVERY_COMPANY_DIM attributes</w:t>
      </w:r>
    </w:p>
    <w:p>
      <w:pPr>
        <w:pStyle w:val="Heading3"/>
        <w:spacing w:after="140" w:before="260" w:line="240"/>
      </w:pPr>
      <w:r>
        <w:rPr>
          <w:rFonts w:ascii="Arial" w:cs="Arial" w:eastAsia="Arial" w:hAnsi="Arial"/>
          <w:b/>
          <w:bCs/>
          <w:color w:val="000000"/>
          <w:sz w:val="23"/>
          <w:szCs w:val="23"/>
        </w:rPr>
        <w:t xml:space="preserve">1.1.6  Fact Tables</w:t>
      </w:r>
    </w:p>
    <w:p>
      <w:pPr>
        <w:spacing w:after="120" w:line="240"/>
      </w:pPr>
      <w:r>
        <w:rPr>
          <w:rFonts w:ascii="Times New Roman" w:cs="Times New Roman" w:eastAsia="Times New Roman" w:hAnsi="Times New Roman"/>
          <w:sz w:val="22"/>
          <w:szCs w:val="22"/>
        </w:rPr>
        <w:t xml:space="preserve">Each fact table below states its grain, its dimension keys and its measures. Every measure is classified by additivity, because a measure that is summed when it should not be produces a silently wrong figure rather than an error.</w:t>
      </w:r>
    </w:p>
    <w:p>
      <w:pPr>
        <w:pStyle w:val="Heading3"/>
        <w:spacing w:after="140" w:before="260" w:line="240"/>
      </w:pPr>
      <w:r>
        <w:rPr>
          <w:rFonts w:ascii="Arial" w:cs="Arial" w:eastAsia="Arial" w:hAnsi="Arial"/>
          <w:b/>
          <w:bCs/>
          <w:color w:val="000000"/>
          <w:sz w:val="23"/>
          <w:szCs w:val="23"/>
        </w:rPr>
        <w:t xml:space="preserve">1.1.6.1  SALES_FACT  —  Transaction fact</w:t>
      </w:r>
    </w:p>
    <w:p>
      <w:pPr>
        <w:spacing w:after="120" w:line="240"/>
      </w:pPr>
      <w:r>
        <w:rPr>
          <w:rFonts w:ascii="Times New Roman" w:cs="Times New Roman" w:eastAsia="Times New Roman" w:hAnsi="Times New Roman"/>
          <w:b/>
          <w:bCs/>
          <w:sz w:val="22"/>
          <w:szCs w:val="22"/>
        </w:rPr>
        <w:t xml:space="preserve">Grain: one row per item line per order.        Source: OrderDetails, joined to Orders and ItemPromotion.</w:t>
      </w:r>
    </w:p>
    <w:p>
      <w:pPr>
        <w:spacing w:after="120" w:line="240"/>
      </w:pPr>
      <w:r>
        <w:rPr>
          <w:rFonts w:ascii="Times New Roman" w:cs="Times New Roman" w:eastAsia="Times New Roman" w:hAnsi="Times New Roman"/>
          <w:sz w:val="22"/>
          <w:szCs w:val="22"/>
        </w:rPr>
        <w:t xml:space="preserve">This is the central fact table of the warehouse. Its grain is atomic and maps one-to-one to OrderDetails, so no aggregation is performed during loading. Cost and gross-profit measures are deliberately absent because the operational system records no cost column anywhere: Item.UnitPrice is a selling price and ItemPromotion.PromoPrice is a discounted selling price. Profitability is therefore analysed through discount leakage and revenue net of returns.</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00"/>
        <w:gridCol w:w="1500"/>
        <w:gridCol w:w="4620"/>
      </w:tblGrid>
      <w:tr>
        <w:trPr>
          <w:tblHeader/>
        </w:trPr>
        <w:tc>
          <w:tcPr>
            <w:tcW w:type="dxa" w:w="22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7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1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Additivity</w:t>
            </w:r>
          </w:p>
        </w:tc>
        <w:tc>
          <w:tcPr>
            <w:tcW w:type="dxa" w:w="46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order_date_key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DATE_DIM in its order date role.</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CUSTOMER_DIM, resolved to the version current at the order date.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ITEM_DIM.</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BRANCH_DIM.</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PROMOTION_DIM; 0 where no promotion applies.</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orderNo</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Orders(OrderNo). Provides drill-back to the operational order.</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orderType</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Orders.OrderType — 'Online' or 'Walk-in'.</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orderHour</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from the time component of Orders.OrderDateTime, 0 to 23. Supports peak trading hour analysis.</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quantity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OrderDetails.Quantity.</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unitPrice</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Non-additive</w:t>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OrderDetails.UnitPrice, the price captured at the time of sale. Average it; never sum it.</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grossSalesAmt</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quantity multiplied by unitPrice.</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discountAmt</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(unitPrice minus ItemPromotion.PromoPrice) multiplied by quantity, or 0 where no promotion applies.</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netSalesAmt</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grossSalesAmt minus discountAmt.</w:t>
            </w:r>
          </w:p>
        </w:tc>
      </w:tr>
    </w:tbl>
    <w:p>
      <w:pPr>
        <w:spacing w:after="240" w:before="80" w:line="240"/>
        <w:jc w:val="center"/>
      </w:pPr>
      <w:r>
        <w:rPr>
          <w:rFonts w:ascii="Times New Roman" w:cs="Times New Roman" w:eastAsia="Times New Roman" w:hAnsi="Times New Roman"/>
          <w:i/>
          <w:iCs/>
          <w:sz w:val="20"/>
          <w:szCs w:val="20"/>
        </w:rPr>
        <w:t xml:space="preserve">Table 1.12  SALES_FACT keys and measures</w:t>
      </w:r>
    </w:p>
    <w:p>
      <w:pPr>
        <w:pStyle w:val="Heading3"/>
        <w:spacing w:after="140" w:before="260" w:line="240"/>
      </w:pPr>
      <w:r>
        <w:rPr>
          <w:rFonts w:ascii="Arial" w:cs="Arial" w:eastAsia="Arial" w:hAnsi="Arial"/>
          <w:b/>
          <w:bCs/>
          <w:color w:val="000000"/>
          <w:sz w:val="23"/>
          <w:szCs w:val="23"/>
        </w:rPr>
        <w:t xml:space="preserve">1.1.6.2  RETURN_FACT  —  Transaction fact</w:t>
      </w:r>
    </w:p>
    <w:p>
      <w:pPr>
        <w:spacing w:after="120" w:line="240"/>
      </w:pPr>
      <w:r>
        <w:rPr>
          <w:rFonts w:ascii="Times New Roman" w:cs="Times New Roman" w:eastAsia="Times New Roman" w:hAnsi="Times New Roman"/>
          <w:b/>
          <w:bCs/>
          <w:sz w:val="22"/>
          <w:szCs w:val="22"/>
        </w:rPr>
        <w:t xml:space="preserve">Grain: one row per returned item line.        Source: ReturnDetails, joined to Returns and Orders.</w:t>
      </w:r>
    </w:p>
    <w:p>
      <w:pPr>
        <w:spacing w:after="120" w:line="240"/>
      </w:pPr>
      <w:r>
        <w:rPr>
          <w:rFonts w:ascii="Times New Roman" w:cs="Times New Roman" w:eastAsia="Times New Roman" w:hAnsi="Times New Roman"/>
          <w:sz w:val="22"/>
          <w:szCs w:val="22"/>
        </w:rPr>
        <w:t xml:space="preserve">The grain maps one-to-one to ReturnDetails. DATE_DIM appears twice so that a return can be aged against the sale that produced it. The Returns table carries no BranchID, so branch_key is inherited from the originating order and therefore models the branch that sold the item rather than the branch that processed the return; this assumption is recorded in section 1.1.8. Inheriting promo_key from the matching sales line allows promotion performance to be measured net of returns.</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00"/>
        <w:gridCol w:w="1500"/>
        <w:gridCol w:w="4620"/>
      </w:tblGrid>
      <w:tr>
        <w:trPr>
          <w:tblHeader/>
        </w:trPr>
        <w:tc>
          <w:tcPr>
            <w:tcW w:type="dxa" w:w="22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7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1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Additivity</w:t>
            </w:r>
          </w:p>
        </w:tc>
        <w:tc>
          <w:tcPr>
            <w:tcW w:type="dxa" w:w="46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return_date_key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DATE_DIM in its return date role.</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order_date_key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DATE_DIM in its original order date role.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CUSTOMER_DIM, resolved to the version current at the return date.</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ITEM_DIM.</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BRANCH_DIM — the branch that sold the item.</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reason_key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RETURN_REASON_DIM.</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PROMOTION_DIM, inherited from the matching sales line.</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returnID</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Returns(ReturnID).</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orderNo</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Orders(OrderNo).</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returnStatus</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Returns.Status — 'Pending', 'Approved', 'Rejected' or 'Refunded'.</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quantityReturned</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ReturnDetails.QuantityReturned.</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refundAmount</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ReturnDetails.RefundAmount.</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daysToReturn</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Non-additive</w:t>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Returns.ReturnDate minus Orders.OrderDateTime. Average it; never sum it.</w:t>
            </w:r>
          </w:p>
        </w:tc>
      </w:tr>
    </w:tbl>
    <w:p>
      <w:pPr>
        <w:spacing w:after="240" w:before="80" w:line="240"/>
        <w:jc w:val="center"/>
      </w:pPr>
      <w:r>
        <w:rPr>
          <w:rFonts w:ascii="Times New Roman" w:cs="Times New Roman" w:eastAsia="Times New Roman" w:hAnsi="Times New Roman"/>
          <w:i/>
          <w:iCs/>
          <w:sz w:val="20"/>
          <w:szCs w:val="20"/>
        </w:rPr>
        <w:t xml:space="preserve">Table 1.13  RETURN_FACT keys and measures</w:t>
      </w:r>
    </w:p>
    <w:p>
      <w:pPr>
        <w:pStyle w:val="Heading3"/>
        <w:spacing w:after="140" w:before="260" w:line="240"/>
      </w:pPr>
      <w:r>
        <w:rPr>
          <w:rFonts w:ascii="Arial" w:cs="Arial" w:eastAsia="Arial" w:hAnsi="Arial"/>
          <w:b/>
          <w:bCs/>
          <w:color w:val="000000"/>
          <w:sz w:val="23"/>
          <w:szCs w:val="23"/>
        </w:rPr>
        <w:t xml:space="preserve">1.1.6.3  DELIVERY_FACT  —  Transaction fact</w:t>
      </w:r>
    </w:p>
    <w:p>
      <w:pPr>
        <w:spacing w:after="120" w:line="240"/>
      </w:pPr>
      <w:r>
        <w:rPr>
          <w:rFonts w:ascii="Times New Roman" w:cs="Times New Roman" w:eastAsia="Times New Roman" w:hAnsi="Times New Roman"/>
          <w:b/>
          <w:bCs/>
          <w:sz w:val="22"/>
          <w:szCs w:val="22"/>
        </w:rPr>
        <w:t xml:space="preserve">Grain: one row per delivery.        Source: Delivery, joined to Orders.</w:t>
      </w:r>
    </w:p>
    <w:p>
      <w:pPr>
        <w:spacing w:after="120" w:line="240"/>
      </w:pPr>
      <w:r>
        <w:rPr>
          <w:rFonts w:ascii="Times New Roman" w:cs="Times New Roman" w:eastAsia="Times New Roman" w:hAnsi="Times New Roman"/>
          <w:sz w:val="22"/>
          <w:szCs w:val="22"/>
        </w:rPr>
        <w:t xml:space="preserve">Delivery.DeliveryDate is NULL until despatch completes, so pending and cancelled deliveries carry delivery_date_key = -1, the seeded Unknown date. Retaining these rows rather than discarding them allows the pending and cancellation rate per courier to be reported. Delivery.OrderNo carries a UNIQUE constraint in the source, meaning at most one delivery exists per order; storing orderTotalAmount at this grain therefore does not double-count and gives the fact a revenue measure against which the delivery charge can be assessed.</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00"/>
        <w:gridCol w:w="1500"/>
        <w:gridCol w:w="4620"/>
      </w:tblGrid>
      <w:tr>
        <w:trPr>
          <w:tblHeader/>
        </w:trPr>
        <w:tc>
          <w:tcPr>
            <w:tcW w:type="dxa" w:w="22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7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1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Additivity</w:t>
            </w:r>
          </w:p>
        </w:tc>
        <w:tc>
          <w:tcPr>
            <w:tcW w:type="dxa" w:w="46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delivery_date_key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DATE_DIM in its delivery date role; -1 while the order is not yet delivered.</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order_date_key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DATE_DIM in its order date role.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CUSTOMER_DIM, resolved to the version current at the order date.</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BRANCH_DIM — the branch that fulfilled the order.</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delivery_company_key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DELIVERY_COMPANY_DIM.</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ADDRESS_DIM — the ship-to address.</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deliveryID</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Delivery(DeliveryID).</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orderNo</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Orders(OrderNo).</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deliveryStatus</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Delivery.Status — 'Pending', 'In Transit', 'Delivered' or 'Cancelled'.</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deliveryCharge</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Delivery.DeliveryCharge.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orderTotalAmount</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Orders.TotalAmount. Safe at this grain because one delivery exists per order.</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deliveryLeadDays</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Non-additive</w:t>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Delivery.DeliveryDate minus Orders.OrderDateTime. NULL until the order is delivered.</w:t>
            </w:r>
          </w:p>
        </w:tc>
      </w:tr>
    </w:tbl>
    <w:p>
      <w:pPr>
        <w:spacing w:after="240" w:before="80" w:line="240"/>
        <w:jc w:val="center"/>
      </w:pPr>
      <w:r>
        <w:rPr>
          <w:rFonts w:ascii="Times New Roman" w:cs="Times New Roman" w:eastAsia="Times New Roman" w:hAnsi="Times New Roman"/>
          <w:i/>
          <w:iCs/>
          <w:sz w:val="20"/>
          <w:szCs w:val="20"/>
        </w:rPr>
        <w:t xml:space="preserve">Table 1.14  DELIVERY_FACT keys and measures</w:t>
      </w:r>
    </w:p>
    <w:p>
      <w:pPr>
        <w:pStyle w:val="Heading3"/>
        <w:spacing w:after="140" w:before="260" w:line="240"/>
      </w:pPr>
      <w:r>
        <w:rPr>
          <w:rFonts w:ascii="Arial" w:cs="Arial" w:eastAsia="Arial" w:hAnsi="Arial"/>
          <w:b/>
          <w:bCs/>
          <w:color w:val="000000"/>
          <w:sz w:val="23"/>
          <w:szCs w:val="23"/>
        </w:rPr>
        <w:t xml:space="preserve">1.1.6.4  POINT_FACT  —  Transaction fact</w:t>
      </w:r>
    </w:p>
    <w:p>
      <w:pPr>
        <w:spacing w:after="120" w:line="240"/>
      </w:pPr>
      <w:r>
        <w:rPr>
          <w:rFonts w:ascii="Times New Roman" w:cs="Times New Roman" w:eastAsia="Times New Roman" w:hAnsi="Times New Roman"/>
          <w:b/>
          <w:bCs/>
          <w:sz w:val="22"/>
          <w:szCs w:val="22"/>
        </w:rPr>
        <w:t xml:space="preserve">Grain: one row per loyalty point transaction.        Source: PointTransaction.</w:t>
      </w:r>
    </w:p>
    <w:p>
      <w:pPr>
        <w:spacing w:after="120" w:line="240"/>
      </w:pPr>
      <w:r>
        <w:rPr>
          <w:rFonts w:ascii="Times New Roman" w:cs="Times New Roman" w:eastAsia="Times New Roman" w:hAnsi="Times New Roman"/>
          <w:sz w:val="22"/>
          <w:szCs w:val="22"/>
        </w:rPr>
        <w:t xml:space="preserve">The source stores a single positive Point value and carries the sign in TransType. Splitting it into two separate measures allows earning and redemption to be summed independently without a CASE expression at query time. The constraint chk_pointtrans_order in the source enforces that an 'Earn' row has an OrderNo while a 'Redeem' row does not, so redemptions have neither an order nor a branch: orderNo is NULL and branch_key points at the seeded 'Unknown / Not Applicable' row. This keeps the fact uniform and every dimension join valid. Summing netPoints per customer reproduces Member.PointsBalance, which is why that balance is not stored in CUSTOMER_DIM.</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00"/>
        <w:gridCol w:w="1500"/>
        <w:gridCol w:w="4620"/>
      </w:tblGrid>
      <w:tr>
        <w:trPr>
          <w:tblHeader/>
        </w:trPr>
        <w:tc>
          <w:tcPr>
            <w:tcW w:type="dxa" w:w="22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Attribute</w:t>
            </w:r>
          </w:p>
        </w:tc>
        <w:tc>
          <w:tcPr>
            <w:tcW w:type="dxa" w:w="7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w:t>
            </w:r>
          </w:p>
        </w:tc>
        <w:tc>
          <w:tcPr>
            <w:tcW w:type="dxa" w:w="15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Additivity</w:t>
            </w:r>
          </w:p>
        </w:tc>
        <w:tc>
          <w:tcPr>
            <w:tcW w:type="dxa" w:w="46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 / derivation and source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trans_date_key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DATE_DIM in its transaction date role.</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customer_key</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CUSTOMER_DIM, resolved to the version current at the transaction date.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branch_key</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BRANCH_DIM; -1 for redemptions, which carry no order and therefore no branch.</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pointTransID</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PointTransaction(PointTransID).</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orderNo</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FK</w:t>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Orders(OrderNo). NULL for redemptions, as enforced by the source.</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transType</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PointTransaction.TransType — 'Earn' or 'Redeem'.</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pointsEarned</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PointTransaction.Point where TransType is 'Earn', otherwise 0.</w:t>
            </w:r>
          </w:p>
        </w:tc>
      </w:tr>
      <w:tr>
        <w:tc>
          <w:tcPr>
            <w:tcW w:type="dxa" w:w="22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pointsRedeemed</w:t>
            </w:r>
          </w:p>
        </w:tc>
        <w:tc>
          <w:tcPr>
            <w:tcW w:type="dxa" w:w="7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PointTransaction.Point where TransType is 'Redeem', otherwise 0.</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netPoints</w:t>
            </w:r>
          </w:p>
        </w:tc>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Additive</w:t>
            </w:r>
          </w:p>
        </w:tc>
        <w:tc>
          <w:tcPr>
            <w:tcW w:type="dxa" w:w="4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pointsEarned minus pointsRedeemed.</w:t>
            </w:r>
          </w:p>
        </w:tc>
      </w:tr>
    </w:tbl>
    <w:p>
      <w:pPr>
        <w:spacing w:after="240" w:before="80" w:line="240"/>
        <w:jc w:val="center"/>
      </w:pPr>
      <w:r>
        <w:rPr>
          <w:rFonts w:ascii="Times New Roman" w:cs="Times New Roman" w:eastAsia="Times New Roman" w:hAnsi="Times New Roman"/>
          <w:i/>
          <w:iCs/>
          <w:sz w:val="20"/>
          <w:szCs w:val="20"/>
        </w:rPr>
        <w:t xml:space="preserve">Table 1.15  POINT_FACT keys and measures</w:t>
      </w:r>
    </w:p>
    <w:p>
      <w:pPr>
        <w:pStyle w:val="Heading3"/>
        <w:spacing w:after="140" w:before="260" w:line="240"/>
      </w:pPr>
      <w:r>
        <w:rPr>
          <w:rFonts w:ascii="Arial" w:cs="Arial" w:eastAsia="Arial" w:hAnsi="Arial"/>
          <w:b/>
          <w:bCs/>
          <w:color w:val="000000"/>
          <w:sz w:val="23"/>
          <w:szCs w:val="23"/>
        </w:rPr>
        <w:t xml:space="preserve">1.1.7  Design Decisions</w:t>
      </w:r>
    </w:p>
    <w:p>
      <w:pPr>
        <w:spacing w:after="120" w:line="240"/>
        <w:ind w:left="360" w:hanging="3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Fact constellation with conformed dimensions.  </w:t>
      </w:r>
      <w:r>
        <w:rPr>
          <w:rFonts w:ascii="Times New Roman" w:cs="Times New Roman" w:eastAsia="Times New Roman" w:hAnsi="Times New Roman"/>
          <w:sz w:val="22"/>
          <w:szCs w:val="22"/>
        </w:rPr>
        <w:t xml:space="preserve">DATE, CUSTOMER, BRANCH, ITEM and PROMOTION are single physical tables whose keys and meaning are identical in every fact that uses them. This is what allows sales, returns, deliveries and loyalty points to be reported against the same customer, branch and calendar.</w:t>
      </w:r>
    </w:p>
    <w:p>
      <w:pPr>
        <w:spacing w:after="120" w:line="240"/>
        <w:ind w:left="360" w:hanging="3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DATE_DIM is a role-playing dimension.  </w:t>
      </w:r>
      <w:r>
        <w:rPr>
          <w:rFonts w:ascii="Times New Roman" w:cs="Times New Roman" w:eastAsia="Times New Roman" w:hAnsi="Times New Roman"/>
          <w:sz w:val="22"/>
          <w:szCs w:val="22"/>
        </w:rPr>
        <w:t xml:space="preserve">One calendar table is referenced five times rather than five calendars being built. It will be exposed through views named ORDER_DATE_DIM, RETURN_DATE_DIM, DELIVERY_DATE_DIM and TRANS_DATE_DIM in Task 2, because a reporting tool cannot join the same physical table twice without an alias. The key is a YYYYMMDD smart key.</w:t>
      </w:r>
    </w:p>
    <w:p>
      <w:pPr>
        <w:spacing w:after="120" w:line="240"/>
        <w:ind w:left="360" w:hanging="3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CUSTOMER_DIM is the Type 2 dimension.  </w:t>
      </w:r>
      <w:r>
        <w:rPr>
          <w:rFonts w:ascii="Times New Roman" w:cs="Times New Roman" w:eastAsia="Times New Roman" w:hAnsi="Times New Roman"/>
          <w:sz w:val="22"/>
          <w:szCs w:val="22"/>
        </w:rPr>
        <w:t xml:space="preserve">Membership type, customer status and member flag are the attributes whose history carries analytical meaning, so a change to any of them closes the current version and opens a new one. Customer name, IC number, email and membership expiry are treated as Type 1 overwrites because a change to those is a correction, not history.</w:t>
      </w:r>
    </w:p>
    <w:p>
      <w:pPr>
        <w:spacing w:after="120" w:line="240"/>
        <w:ind w:left="360" w:hanging="3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Slowly changing dimension join rule.  </w:t>
      </w:r>
      <w:r>
        <w:rPr>
          <w:rFonts w:ascii="Times New Roman" w:cs="Times New Roman" w:eastAsia="Times New Roman" w:hAnsi="Times New Roman"/>
          <w:sz w:val="22"/>
          <w:szCs w:val="22"/>
        </w:rPr>
        <w:t xml:space="preserve">A fact row references the customer version that was current at the time of the event: SALES_FACT uses the order date, RETURN_FACT the return date, DELIVERY_FACT the order date and POINT_FACT the transaction date.</w:t>
      </w:r>
    </w:p>
    <w:p>
      <w:pPr>
        <w:spacing w:after="120" w:line="240"/>
        <w:ind w:left="360" w:hanging="3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Surrogate keys throughout.  </w:t>
      </w:r>
      <w:r>
        <w:rPr>
          <w:rFonts w:ascii="Times New Roman" w:cs="Times New Roman" w:eastAsia="Times New Roman" w:hAnsi="Times New Roman"/>
          <w:sz w:val="22"/>
          <w:szCs w:val="22"/>
        </w:rPr>
        <w:t xml:space="preserve">Every dimension is keyed by a system-generated surrogate. The operational identifier is retained alongside it and declared as a foreign key back to its source table, preserving lineage without making the warehouse depend on operational key formats.</w:t>
      </w:r>
    </w:p>
    <w:p>
      <w:pPr>
        <w:spacing w:after="120" w:line="240"/>
        <w:ind w:left="360" w:hanging="3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Unknown and default member rows.  </w:t>
      </w:r>
      <w:r>
        <w:rPr>
          <w:rFonts w:ascii="Times New Roman" w:cs="Times New Roman" w:eastAsia="Times New Roman" w:hAnsi="Times New Roman"/>
          <w:sz w:val="22"/>
          <w:szCs w:val="22"/>
        </w:rPr>
        <w:t xml:space="preserve">Every dimension is seeded with a row keyed -1 representing Unknown, and PROMOTION_DIM additionally seeds a row keyed 0 representing No Promotion. The two are kept distinct because a sale with no promotion is a different fact from a sale whose promotion reference could not be resolved. The operational identifier is the one column left nullable in each dimension, so that these seeded rows — which by definition have no counterpart in the operational system — do not violate their foreign key.</w:t>
      </w:r>
    </w:p>
    <w:p>
      <w:pPr>
        <w:spacing w:after="120" w:line="240"/>
        <w:ind w:left="360" w:hanging="3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Grain-enforcing unique constraints.  </w:t>
      </w:r>
      <w:r>
        <w:rPr>
          <w:rFonts w:ascii="Times New Roman" w:cs="Times New Roman" w:eastAsia="Times New Roman" w:hAnsi="Times New Roman"/>
          <w:sz w:val="22"/>
          <w:szCs w:val="22"/>
        </w:rPr>
        <w:t xml:space="preserve">Each fact carries a UNIQUE constraint on the columns that genuinely identify a row, in addition to its composite primary key. This is necessary because CUSTOMER_DIM is Type 2: were an order re-read after a customer changed version, the composite primary key alone would accept the same order line a second time under a new customer_key and revenue would be double counted.</w:t>
      </w:r>
    </w:p>
    <w:p>
      <w:pPr>
        <w:spacing w:after="120" w:line="240"/>
        <w:ind w:left="360" w:hanging="3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Promotion fan-out rule.  </w:t>
      </w:r>
      <w:r>
        <w:rPr>
          <w:rFonts w:ascii="Times New Roman" w:cs="Times New Roman" w:eastAsia="Times New Roman" w:hAnsi="Times New Roman"/>
          <w:sz w:val="22"/>
          <w:szCs w:val="22"/>
        </w:rPr>
        <w:t xml:space="preserve">ItemPromotion is a many-to-many relationship, so one item may belong to two overlapping promotions at once. Where more than one promotion is active for an item on the order date, the ETL applies the promotion with the highest discount value, with ties broken by the lowest PromotionID. Without this rule a single order line would produce two fact rows and inflate revenue.</w:t>
      </w:r>
    </w:p>
    <w:p>
      <w:pPr>
        <w:spacing w:after="120" w:line="240"/>
        <w:ind w:left="360" w:hanging="3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No cost or gross-profit measures.  </w:t>
      </w:r>
      <w:r>
        <w:rPr>
          <w:rFonts w:ascii="Times New Roman" w:cs="Times New Roman" w:eastAsia="Times New Roman" w:hAnsi="Times New Roman"/>
          <w:sz w:val="22"/>
          <w:szCs w:val="22"/>
        </w:rPr>
        <w:t xml:space="preserve">The operational system records no cost column anywhere. Item.UnitPrice is a selling price and ItemPromotion.PromoPrice is a discounted selling price. Rather than fabricate a cost, profitability is analysed through discount leakage and revenue net of returns.</w:t>
      </w:r>
    </w:p>
    <w:p>
      <w:pPr>
        <w:spacing w:after="120" w:line="240"/>
        <w:ind w:left="360" w:hanging="3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Dimension attributes are never NULL.  </w:t>
      </w:r>
      <w:r>
        <w:rPr>
          <w:rFonts w:ascii="Times New Roman" w:cs="Times New Roman" w:eastAsia="Times New Roman" w:hAnsi="Times New Roman"/>
          <w:sz w:val="22"/>
          <w:szCs w:val="22"/>
        </w:rPr>
        <w:t xml:space="preserve">Text attributes default to 'Unknown', festive_event to 'None' and effective_end_date to 9999-12-31. This matters because a predicate such as WHERE festive_event &lt;&gt; 'Deepavali' silently discards rows holding NULL.</w:t>
      </w:r>
    </w:p>
    <w:p>
      <w:pPr>
        <w:spacing w:after="120" w:line="240"/>
        <w:ind w:left="360" w:hanging="3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Warehouse constraints are wider than the source.  </w:t>
      </w:r>
      <w:r>
        <w:rPr>
          <w:rFonts w:ascii="Times New Roman" w:cs="Times New Roman" w:eastAsia="Times New Roman" w:hAnsi="Times New Roman"/>
          <w:sz w:val="22"/>
          <w:szCs w:val="22"/>
        </w:rPr>
        <w:t xml:space="preserve">Each CHECK constraint in the warehouse permits an additional 'Unknown' value, and PROMOTION_DIM additionally permits 'None', so that the seeded default rows are legal.</w:t>
      </w:r>
    </w:p>
    <w:p>
      <w:pPr>
        <w:spacing w:after="120" w:line="240"/>
        <w:ind w:left="360" w:hanging="3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No staff or employee dimension.  </w:t>
      </w:r>
      <w:r>
        <w:rPr>
          <w:rFonts w:ascii="Times New Roman" w:cs="Times New Roman" w:eastAsia="Times New Roman" w:hAnsi="Times New Roman"/>
          <w:sz w:val="22"/>
          <w:szCs w:val="22"/>
        </w:rPr>
        <w:t xml:space="preserve">The operational system contains no Staff table, so no such dimension can be sourced.</w:t>
      </w:r>
    </w:p>
    <w:p>
      <w:pPr>
        <w:pStyle w:val="Heading3"/>
        <w:spacing w:after="140" w:before="260" w:line="240"/>
      </w:pPr>
      <w:r>
        <w:rPr>
          <w:rFonts w:ascii="Arial" w:cs="Arial" w:eastAsia="Arial" w:hAnsi="Arial"/>
          <w:b/>
          <w:bCs/>
          <w:color w:val="000000"/>
          <w:sz w:val="23"/>
          <w:szCs w:val="23"/>
        </w:rPr>
        <w:t xml:space="preserve">1.1.8  Assumptions and Scope Boundaries</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020"/>
      </w:tblGrid>
      <w:tr>
        <w:trPr>
          <w:tblHeader/>
        </w:trPr>
        <w:tc>
          <w:tcPr>
            <w:tcW w:type="dxa" w:w="30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Assumption</w:t>
            </w:r>
          </w:p>
        </w:tc>
        <w:tc>
          <w:tcPr>
            <w:tcW w:type="dxa" w:w="60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Statement</w:t>
            </w:r>
          </w:p>
        </w:tc>
      </w:tr>
      <w:t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 of a return</w:t>
            </w:r>
          </w:p>
        </w:tc>
        <w:tc>
          <w:tcPr>
            <w:tcW w:type="dxa" w:w="60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Returns table holds no BranchID, so RETURN_FACT.branch_key is inherited from the originating order. The model therefore represents the branch that sold the item, not the branch that processed the return. Cross-branch returns cannot currently be expressed.</w:t>
            </w:r>
          </w:p>
        </w:tc>
      </w:tr>
      <w:tr>
        <w:tc>
          <w:tcPr>
            <w:tcW w:type="dxa" w:w="30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 name</w:t>
            </w:r>
          </w:p>
        </w:tc>
        <w:tc>
          <w:tcPr>
            <w:tcW w:type="dxa" w:w="60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source holds no branch name, so branchName is derived as the city name followed by the word Branch.</w:t>
            </w:r>
          </w:p>
        </w:tc>
      </w:tr>
      <w:t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Region</w:t>
            </w:r>
          </w:p>
        </w:tc>
        <w:tc>
          <w:tcPr>
            <w:tcW w:type="dxa" w:w="60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Region is not held in the source and is derived from state using the mapping in Table 1.7.</w:t>
            </w:r>
          </w:p>
        </w:tc>
      </w:tr>
      <w:tr>
        <w:tc>
          <w:tcPr>
            <w:tcW w:type="dxa" w:w="30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 reason category</w:t>
            </w:r>
          </w:p>
        </w:tc>
        <w:tc>
          <w:tcPr>
            <w:tcW w:type="dxa" w:w="60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reasonCategory is not held in the source and is derived from reasonName using the mapping stated in section 1.1.5.7.</w:t>
            </w:r>
          </w:p>
        </w:tc>
      </w:tr>
      <w:t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 total reconciliation</w:t>
            </w:r>
          </w:p>
        </w:tc>
        <w:tc>
          <w:tcPr>
            <w:tcW w:type="dxa" w:w="60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sum of OrderDetails.Subtotal will not always equal Orders.TotalAmount, because TotalAmount also absorbs delivery charges and voucher redemptions. This is a deliberate scope boundary, not a defect, and is validated as a data-quality rule in Task 2.</w:t>
            </w:r>
          </w:p>
        </w:tc>
      </w:tr>
      <w:tr>
        <w:tc>
          <w:tcPr>
            <w:tcW w:type="dxa" w:w="30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Out of scope</w:t>
            </w:r>
          </w:p>
        </w:tc>
        <w:tc>
          <w:tcPr>
            <w:tcW w:type="dxa" w:w="60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Payment, Voucher and BranchStock are deliberately excluded from the warehouse. ItemPromotion is used during extraction to derive the discount measure but is not modelled as a dimension in its own right.</w:t>
            </w:r>
          </w:p>
        </w:tc>
      </w:tr>
    </w:tbl>
    <w:p>
      <w:pPr>
        <w:spacing w:after="240" w:before="80" w:line="240"/>
        <w:jc w:val="center"/>
      </w:pPr>
      <w:r>
        <w:rPr>
          <w:rFonts w:ascii="Times New Roman" w:cs="Times New Roman" w:eastAsia="Times New Roman" w:hAnsi="Times New Roman"/>
          <w:i/>
          <w:iCs/>
          <w:sz w:val="20"/>
          <w:szCs w:val="20"/>
        </w:rPr>
        <w:t xml:space="preserve">Table 1.16  Assumptions and scope boundaries</w:t>
      </w:r>
    </w:p>
    <w:p>
      <w:pPr>
        <w:pStyle w:val="Heading3"/>
        <w:spacing w:after="140" w:before="260" w:line="240"/>
      </w:pPr>
      <w:r>
        <w:rPr>
          <w:rFonts w:ascii="Arial" w:cs="Arial" w:eastAsia="Arial" w:hAnsi="Arial"/>
          <w:b/>
          <w:bCs/>
          <w:color w:val="000000"/>
          <w:sz w:val="23"/>
          <w:szCs w:val="23"/>
        </w:rPr>
        <w:t xml:space="preserve">1.1.9  Source-to-Target Mapping</w:t>
      </w:r>
    </w:p>
    <w:p>
      <w:pPr>
        <w:spacing w:after="120" w:line="240"/>
      </w:pPr>
      <w:r>
        <w:rPr>
          <w:rFonts w:ascii="Times New Roman" w:cs="Times New Roman" w:eastAsia="Times New Roman" w:hAnsi="Times New Roman"/>
          <w:sz w:val="22"/>
          <w:szCs w:val="22"/>
        </w:rPr>
        <w:t xml:space="preserve">Every column in the warehouse traces to a column in the operational system or to a documented derivation. No attribute has been introduced without a source.</w:t>
      </w:r>
    </w:p>
    <w:tbl>
      <w:tblPr>
        <w:tblW w:type="dxa" w:w="9020"/>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620"/>
      </w:tblGrid>
      <w:tr>
        <w:trPr>
          <w:tblHeader/>
        </w:trPr>
        <w:tc>
          <w:tcPr>
            <w:tcW w:type="dxa" w:w="340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Warehouse target</w:t>
            </w:r>
          </w:p>
        </w:tc>
        <w:tc>
          <w:tcPr>
            <w:tcW w:type="dxa" w:w="562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Operational source or derivation</w:t>
            </w:r>
          </w:p>
        </w:tc>
      </w:tr>
      <w:t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SALES_FACT.quantity, unitPrice</w:t>
            </w:r>
          </w:p>
        </w:tc>
        <w:tc>
          <w:tcPr>
            <w:tcW w:type="dxa" w:w="5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OrderDetails.Quantity, OrderDetails.UnitPrice</w:t>
            </w:r>
          </w:p>
        </w:tc>
      </w:tr>
      <w:tr>
        <w:tc>
          <w:tcPr>
            <w:tcW w:type="dxa" w:w="34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SALES_FACT.orderType, orderHour</w:t>
            </w:r>
          </w:p>
        </w:tc>
        <w:tc>
          <w:tcPr>
            <w:tcW w:type="dxa" w:w="5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Orders.OrderType, Orders.OrderDateTime</w:t>
            </w:r>
          </w:p>
        </w:tc>
      </w:tr>
      <w:t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SALES_FACT.grossSalesAmt, discountAmt, netSalesAmt</w:t>
            </w:r>
          </w:p>
        </w:tc>
        <w:tc>
          <w:tcPr>
            <w:tcW w:type="dxa" w:w="5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Derived from OrderDetails and ItemPromotion.PromoPrice</w:t>
            </w:r>
          </w:p>
        </w:tc>
      </w:tr>
      <w:tr>
        <w:tc>
          <w:tcPr>
            <w:tcW w:type="dxa" w:w="34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RETURN_FACT.quantityReturned, refundAmount</w:t>
            </w:r>
          </w:p>
        </w:tc>
        <w:tc>
          <w:tcPr>
            <w:tcW w:type="dxa" w:w="5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ReturnDetails.QuantityReturned, ReturnDetails.RefundAmount</w:t>
            </w:r>
          </w:p>
        </w:tc>
      </w:tr>
      <w:t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RETURN_FACT.returnStatus, daysToReturn</w:t>
            </w:r>
          </w:p>
        </w:tc>
        <w:tc>
          <w:tcPr>
            <w:tcW w:type="dxa" w:w="5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Returns.Status; Returns.ReturnDate minus Orders.OrderDateTime</w:t>
            </w:r>
          </w:p>
        </w:tc>
      </w:tr>
      <w:tr>
        <w:tc>
          <w:tcPr>
            <w:tcW w:type="dxa" w:w="34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DELIVERY_FACT.deliveryCharge, deliveryStatus</w:t>
            </w:r>
          </w:p>
        </w:tc>
        <w:tc>
          <w:tcPr>
            <w:tcW w:type="dxa" w:w="5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Delivery.DeliveryCharge, Delivery.Status</w:t>
            </w:r>
          </w:p>
        </w:tc>
      </w:tr>
      <w:t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DELIVERY_FACT.orderTotalAmount, deliveryLeadDays</w:t>
            </w:r>
          </w:p>
        </w:tc>
        <w:tc>
          <w:tcPr>
            <w:tcW w:type="dxa" w:w="5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Orders.TotalAmount; Delivery.DeliveryDate minus Orders.OrderDateTime</w:t>
            </w:r>
          </w:p>
        </w:tc>
      </w:tr>
      <w:tr>
        <w:tc>
          <w:tcPr>
            <w:tcW w:type="dxa" w:w="34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POINT_FACT.pointsEarned, pointsRedeemed</w:t>
            </w:r>
          </w:p>
        </w:tc>
        <w:tc>
          <w:tcPr>
            <w:tcW w:type="dxa" w:w="5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PointTransaction.Point, split by PointTransaction.TransType</w:t>
            </w:r>
          </w:p>
        </w:tc>
      </w:tr>
      <w:t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CUSTOMER_DIM</w:t>
            </w:r>
          </w:p>
        </w:tc>
        <w:tc>
          <w:tcPr>
            <w:tcW w:type="dxa" w:w="5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Customer, Member, MembershipType</w:t>
            </w:r>
          </w:p>
        </w:tc>
      </w:tr>
      <w:tr>
        <w:tc>
          <w:tcPr>
            <w:tcW w:type="dxa" w:w="34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ITEM_DIM</w:t>
            </w:r>
          </w:p>
        </w:tc>
        <w:tc>
          <w:tcPr>
            <w:tcW w:type="dxa" w:w="5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Item, Category, Supplier</w:t>
            </w:r>
          </w:p>
        </w:tc>
      </w:tr>
      <w:t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BRANCH_DIM</w:t>
            </w:r>
          </w:p>
        </w:tc>
        <w:tc>
          <w:tcPr>
            <w:tcW w:type="dxa" w:w="5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Branch, plus derived branchName and branchRegion</w:t>
            </w:r>
          </w:p>
        </w:tc>
      </w:tr>
      <w:tr>
        <w:tc>
          <w:tcPr>
            <w:tcW w:type="dxa" w:w="34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ADDRESS_DIM</w:t>
            </w:r>
          </w:p>
        </w:tc>
        <w:tc>
          <w:tcPr>
            <w:tcW w:type="dxa" w:w="5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MemberAddress, plus derived addressRegion</w:t>
            </w:r>
          </w:p>
        </w:tc>
      </w:tr>
      <w:t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PROMOTION_DIM</w:t>
            </w:r>
          </w:p>
        </w:tc>
        <w:tc>
          <w:tcPr>
            <w:tcW w:type="dxa" w:w="5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Promotion, plus derived promoDurationDays</w:t>
            </w:r>
          </w:p>
        </w:tc>
      </w:tr>
      <w:tr>
        <w:tc>
          <w:tcPr>
            <w:tcW w:type="dxa" w:w="34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RETURN_REASON_DIM</w:t>
            </w:r>
          </w:p>
        </w:tc>
        <w:tc>
          <w:tcPr>
            <w:tcW w:type="dxa" w:w="5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ReturnReason, plus derived reasonCategory</w:t>
            </w:r>
          </w:p>
        </w:tc>
      </w:tr>
      <w:t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DELIVERY_COMPANY_DIM</w:t>
            </w:r>
          </w:p>
        </w:tc>
        <w:tc>
          <w:tcPr>
            <w:tcW w:type="dxa" w:w="562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DeliveryCompany</w:t>
            </w:r>
          </w:p>
        </w:tc>
      </w:tr>
      <w:tr>
        <w:tc>
          <w:tcPr>
            <w:tcW w:type="dxa" w:w="340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DATE_DIM</w:t>
            </w:r>
          </w:p>
        </w:tc>
        <w:tc>
          <w:tcPr>
            <w:tcW w:type="dxa" w:w="5620"/>
            <w:shd w:fill="F2F2F2" w:color="auto" w:val="clear"/>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Generated calendar</w:t>
            </w:r>
          </w:p>
        </w:tc>
      </w:tr>
    </w:tbl>
    <w:p>
      <w:pPr>
        <w:spacing w:after="240" w:before="80" w:line="240"/>
        <w:jc w:val="center"/>
      </w:pPr>
      <w:r>
        <w:rPr>
          <w:rFonts w:ascii="Times New Roman" w:cs="Times New Roman" w:eastAsia="Times New Roman" w:hAnsi="Times New Roman"/>
          <w:i/>
          <w:iCs/>
          <w:sz w:val="20"/>
          <w:szCs w:val="20"/>
        </w:rPr>
        <w:t xml:space="preserve">Table 1.17  Source-to-target mapping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tabs>
        <w:tab w:val="right" w:pos="9026"/>
      </w:tabs>
      <w:spacing w:after="0"/>
    </w:pPr>
    <w:r>
      <w:rPr>
        <w:rFonts w:ascii="Arial" w:cs="Arial" w:eastAsia="Arial" w:hAnsi="Arial"/>
        <w:sz w:val="18"/>
        <w:szCs w:val="18"/>
      </w:rPr>
      <w:t xml:space="preserve">BMIT3003 Data Warehouse Technology</w:t>
    </w:r>
    <w:r>
      <w:rPr>
        <w:rFonts w:ascii="Arial" w:cs="Arial" w:eastAsia="Arial" w:hAnsi="Arial"/>
        <w:sz w:val="18"/>
        <w:szCs w:val="18"/>
      </w:rPr>
      <w:t xml:space="preserve">	Task 1: Design of Data Warehouse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2026-08-18T10:12:47.759Z</dcterms:created>
  <dcterms:modified xsi:type="dcterms:W3CDTF">2026-08-18T10:12:47.759Z</dcterms:modified>
</cp:coreProperties>
</file>

<file path=docProps/custom.xml><?xml version="1.0" encoding="utf-8"?>
<Properties xmlns="http://schemas.openxmlformats.org/officeDocument/2006/custom-properties" xmlns:vt="http://schemas.openxmlformats.org/officeDocument/2006/docPropsVTypes"/>
</file>