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B297B" w14:textId="77777777" w:rsidR="00EE11D5" w:rsidRPr="006546A0" w:rsidRDefault="00EE11D5">
      <w:pPr>
        <w:widowControl w:val="0"/>
        <w:pBdr>
          <w:top w:val="nil"/>
          <w:left w:val="nil"/>
          <w:bottom w:val="nil"/>
          <w:right w:val="nil"/>
          <w:between w:val="nil"/>
        </w:pBdr>
        <w:spacing w:line="276" w:lineRule="auto"/>
      </w:pPr>
    </w:p>
    <w:p w14:paraId="1C931ACB"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7566B7CA" w14:textId="77777777">
        <w:tc>
          <w:tcPr>
            <w:tcW w:w="6408" w:type="dxa"/>
          </w:tcPr>
          <w:p w14:paraId="52779FAF" w14:textId="77777777" w:rsidR="003079CD" w:rsidRPr="006546A0" w:rsidRDefault="003079CD" w:rsidP="003079CD">
            <w:pPr>
              <w:pStyle w:val="Title"/>
              <w:tabs>
                <w:tab w:val="left" w:pos="24"/>
              </w:tabs>
              <w:jc w:val="center"/>
            </w:pPr>
            <w:r>
              <w:rPr>
                <w:color w:val="000000"/>
                <w:sz w:val="30"/>
              </w:rPr>
              <w:t>Annotation Reliability in Malaysian Malay-English Code-Mixed Sentiment Analysis</w:t>
            </w:r>
          </w:p>
          <w:p w14:paraId="5235D06B" w14:textId="77777777" w:rsidR="00EE11D5" w:rsidRPr="006546A0" w:rsidRDefault="00EE11D5" w:rsidP="003079CD">
            <w:pPr>
              <w:tabs>
                <w:tab w:val="left" w:pos="24"/>
              </w:tabs>
              <w:rPr>
                <w:sz w:val="24"/>
                <w:szCs w:val="24"/>
              </w:rPr>
            </w:pPr>
          </w:p>
          <w:p w14:paraId="75897C86" w14:textId="77777777" w:rsidR="00EE11D5" w:rsidRPr="006546A0" w:rsidRDefault="00EE11D5">
            <w:pPr>
              <w:tabs>
                <w:tab w:val="left" w:pos="24"/>
              </w:tabs>
              <w:jc w:val="center"/>
              <w:rPr>
                <w:sz w:val="24"/>
                <w:szCs w:val="24"/>
              </w:rPr>
            </w:pPr>
          </w:p>
          <w:p w14:paraId="367B10D9" w14:textId="77777777" w:rsidR="00EE11D5" w:rsidRPr="006546A0" w:rsidRDefault="00000000">
            <w:pPr>
              <w:tabs>
                <w:tab w:val="left" w:pos="24"/>
              </w:tabs>
              <w:jc w:val="center"/>
              <w:rPr>
                <w:sz w:val="24"/>
                <w:szCs w:val="24"/>
              </w:rPr>
            </w:pPr>
            <w:r>
              <w:rPr>
                <w:sz w:val="24"/>
                <w:szCs w:val="24"/>
              </w:rPr>
              <w:t>Author(s) Name(s)</w:t>
            </w:r>
          </w:p>
          <w:p w14:paraId="2A422B87" w14:textId="77777777" w:rsidR="00EE11D5" w:rsidRPr="006546A0" w:rsidRDefault="00000000">
            <w:pPr>
              <w:tabs>
                <w:tab w:val="left" w:pos="24"/>
              </w:tabs>
              <w:spacing w:before="120"/>
              <w:jc w:val="center"/>
              <w:rPr>
                <w:i/>
                <w:sz w:val="24"/>
                <w:szCs w:val="24"/>
              </w:rPr>
            </w:pPr>
            <w:r>
              <w:rPr>
                <w:i/>
                <w:sz w:val="24"/>
                <w:szCs w:val="24"/>
              </w:rPr>
              <w:t>Author Affiliation(s)</w:t>
            </w:r>
          </w:p>
          <w:p w14:paraId="478C9396" w14:textId="77777777" w:rsidR="00EE11D5" w:rsidRPr="006546A0" w:rsidRDefault="00000000">
            <w:pPr>
              <w:tabs>
                <w:tab w:val="left" w:pos="24"/>
              </w:tabs>
              <w:jc w:val="center"/>
              <w:rPr>
                <w:i/>
                <w:sz w:val="24"/>
                <w:szCs w:val="24"/>
              </w:rPr>
            </w:pPr>
            <w:r>
              <w:rPr>
                <w:i/>
                <w:sz w:val="24"/>
                <w:szCs w:val="24"/>
              </w:rPr>
              <w:t>E-mail</w:t>
            </w:r>
          </w:p>
          <w:p w14:paraId="7706CE83" w14:textId="77777777" w:rsidR="00EE11D5" w:rsidRPr="006546A0" w:rsidRDefault="00EE11D5">
            <w:pPr>
              <w:pStyle w:val="Heading1"/>
              <w:tabs>
                <w:tab w:val="left" w:pos="24"/>
              </w:tabs>
            </w:pPr>
          </w:p>
        </w:tc>
        <w:tc>
          <w:tcPr>
            <w:tcW w:w="1800" w:type="dxa"/>
          </w:tcPr>
          <w:p w14:paraId="5B2D5C71" w14:textId="77777777" w:rsidR="00EE11D5" w:rsidRPr="006546A0" w:rsidRDefault="00000000">
            <w:pPr>
              <w:pStyle w:val="Heading1"/>
              <w:tabs>
                <w:tab w:val="left" w:pos="24"/>
              </w:tabs>
              <w:jc w:val="left"/>
              <w:rPr>
                <w:sz w:val="20"/>
              </w:rPr>
            </w:pPr>
            <w:r>
              <w:rPr>
                <w:sz w:val="20"/>
              </w:rPr>
              <w:t>Article history</w:t>
            </w:r>
          </w:p>
          <w:p w14:paraId="764047C5" w14:textId="77777777" w:rsidR="00EE11D5" w:rsidRPr="006546A0" w:rsidRDefault="00EE11D5">
            <w:pPr>
              <w:pStyle w:val="Heading1"/>
              <w:tabs>
                <w:tab w:val="left" w:pos="24"/>
              </w:tabs>
              <w:rPr>
                <w:b w:val="0"/>
                <w:sz w:val="20"/>
              </w:rPr>
            </w:pPr>
          </w:p>
          <w:p w14:paraId="1B0E3FEA"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0CB6A47D" w14:textId="77777777" w:rsidR="00EE11D5" w:rsidRPr="006546A0" w:rsidRDefault="00000000">
            <w:pPr>
              <w:pStyle w:val="Heading1"/>
              <w:tabs>
                <w:tab w:val="left" w:pos="24"/>
              </w:tabs>
              <w:jc w:val="left"/>
              <w:rPr>
                <w:b w:val="0"/>
                <w:sz w:val="18"/>
                <w:szCs w:val="18"/>
              </w:rPr>
            </w:pPr>
            <w:r>
              <w:rPr>
                <w:b w:val="0"/>
                <w:sz w:val="18"/>
                <w:szCs w:val="18"/>
              </w:rPr>
              <w:t>xx xxx 2023</w:t>
            </w:r>
          </w:p>
          <w:p w14:paraId="55D116E4" w14:textId="77777777" w:rsidR="00EE11D5" w:rsidRPr="006546A0" w:rsidRDefault="00EE11D5"/>
          <w:p w14:paraId="51680D9B"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FDED8EA" w14:textId="77777777" w:rsidR="00EE11D5" w:rsidRPr="006546A0" w:rsidRDefault="00000000">
            <w:pPr>
              <w:pStyle w:val="Heading1"/>
              <w:tabs>
                <w:tab w:val="left" w:pos="24"/>
              </w:tabs>
              <w:jc w:val="left"/>
              <w:rPr>
                <w:b w:val="0"/>
                <w:sz w:val="18"/>
                <w:szCs w:val="18"/>
              </w:rPr>
            </w:pPr>
            <w:r>
              <w:rPr>
                <w:b w:val="0"/>
                <w:sz w:val="18"/>
                <w:szCs w:val="18"/>
              </w:rPr>
              <w:t>xx xxx 2023</w:t>
            </w:r>
          </w:p>
          <w:p w14:paraId="4334482C" w14:textId="77777777" w:rsidR="00EE11D5" w:rsidRPr="006546A0" w:rsidRDefault="00EE11D5"/>
          <w:p w14:paraId="47C19E8B" w14:textId="77777777" w:rsidR="00EE11D5" w:rsidRPr="006546A0" w:rsidRDefault="00000000">
            <w:pPr>
              <w:pStyle w:val="Heading1"/>
              <w:tabs>
                <w:tab w:val="left" w:pos="24"/>
              </w:tabs>
              <w:jc w:val="left"/>
              <w:rPr>
                <w:b w:val="0"/>
                <w:sz w:val="18"/>
                <w:szCs w:val="18"/>
              </w:rPr>
            </w:pPr>
            <w:r>
              <w:rPr>
                <w:b w:val="0"/>
                <w:sz w:val="18"/>
                <w:szCs w:val="18"/>
              </w:rPr>
              <w:t>Accepted:</w:t>
            </w:r>
          </w:p>
          <w:p w14:paraId="69EC1D2D" w14:textId="77777777" w:rsidR="00EE11D5" w:rsidRPr="006546A0" w:rsidRDefault="00000000">
            <w:pPr>
              <w:pStyle w:val="Heading1"/>
              <w:tabs>
                <w:tab w:val="left" w:pos="24"/>
              </w:tabs>
              <w:jc w:val="left"/>
              <w:rPr>
                <w:b w:val="0"/>
                <w:sz w:val="18"/>
                <w:szCs w:val="18"/>
              </w:rPr>
            </w:pPr>
            <w:r>
              <w:rPr>
                <w:b w:val="0"/>
                <w:sz w:val="18"/>
                <w:szCs w:val="18"/>
              </w:rPr>
              <w:t>xx xxx 2023</w:t>
            </w:r>
          </w:p>
          <w:p w14:paraId="222829A8" w14:textId="77777777" w:rsidR="00EE11D5" w:rsidRPr="006546A0" w:rsidRDefault="00EE11D5"/>
          <w:p w14:paraId="79D2D17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27BBC935" w14:textId="77777777" w:rsidR="00EE11D5" w:rsidRPr="006546A0" w:rsidRDefault="00000000">
            <w:pPr>
              <w:pStyle w:val="Heading1"/>
              <w:tabs>
                <w:tab w:val="left" w:pos="24"/>
              </w:tabs>
              <w:jc w:val="left"/>
              <w:rPr>
                <w:b w:val="0"/>
                <w:sz w:val="18"/>
                <w:szCs w:val="18"/>
              </w:rPr>
            </w:pPr>
            <w:r>
              <w:rPr>
                <w:b w:val="0"/>
                <w:sz w:val="18"/>
                <w:szCs w:val="18"/>
              </w:rPr>
              <w:t>xx xxx 2023</w:t>
            </w:r>
          </w:p>
          <w:p w14:paraId="6A22C899" w14:textId="77777777" w:rsidR="00EE11D5" w:rsidRPr="006546A0" w:rsidRDefault="00EE11D5">
            <w:pPr>
              <w:pStyle w:val="Heading1"/>
              <w:tabs>
                <w:tab w:val="left" w:pos="24"/>
              </w:tabs>
              <w:jc w:val="left"/>
              <w:rPr>
                <w:b w:val="0"/>
                <w:sz w:val="18"/>
                <w:szCs w:val="18"/>
              </w:rPr>
            </w:pPr>
          </w:p>
          <w:p w14:paraId="53768753"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05324AA8" w14:textId="77777777" w:rsidR="00EE11D5" w:rsidRPr="006546A0" w:rsidRDefault="00000000">
            <w:pPr>
              <w:pStyle w:val="Heading1"/>
              <w:tabs>
                <w:tab w:val="left" w:pos="24"/>
              </w:tabs>
              <w:jc w:val="left"/>
              <w:rPr>
                <w:b w:val="0"/>
                <w:sz w:val="20"/>
              </w:rPr>
            </w:pPr>
            <w:proofErr w:type="spellStart"/>
            <w:r>
              <w:rPr>
                <w:b w:val="0"/>
                <w:sz w:val="18"/>
                <w:szCs w:val="18"/>
              </w:rPr>
              <w:t>xyz</w:t>
            </w:r>
            <w:proofErr w:type="spellEnd"/>
            <w:r>
              <w:rPr>
                <w:b w:val="0"/>
                <w:sz w:val="18"/>
                <w:szCs w:val="18"/>
              </w:rPr>
              <w:t xml:space="preserve"> @utm.my</w:t>
            </w:r>
          </w:p>
        </w:tc>
      </w:tr>
    </w:tbl>
    <w:p w14:paraId="00A5B965" w14:textId="77777777" w:rsidR="00EE11D5" w:rsidRPr="006546A0" w:rsidRDefault="00000000">
      <w:pPr>
        <w:pStyle w:val="Heading1"/>
        <w:tabs>
          <w:tab w:val="left" w:pos="24"/>
        </w:tabs>
        <w:spacing w:before="240" w:after="120"/>
        <w:rPr>
          <w:i/>
          <w:sz w:val="20"/>
        </w:rPr>
      </w:pPr>
      <w:r>
        <w:rPr>
          <w:i/>
          <w:sz w:val="20"/>
        </w:rPr>
        <w:t>Abstract</w:t>
      </w:r>
    </w:p>
    <w:p w14:paraId="70C618A7" w14:textId="77777777" w:rsidR="00700E7B" w:rsidRPr="00700E7B" w:rsidRDefault="00700E7B" w:rsidP="00700E7B">
      <w:pPr>
        <w:spacing w:before="160"/>
        <w:ind w:firstLine="244"/>
        <w:jc w:val="both"/>
        <w:rPr>
          <w:i/>
          <w:iCs/>
          <w:lang w:val="en-GB"/>
        </w:rPr>
      </w:pPr>
      <w:proofErr w:type="gramStart"/>
      <w:proofErr w:type="gramEnd"/>
      <w:proofErr w:type="spellStart"/>
      <w:proofErr w:type="spellEnd"/>
      <w:proofErr w:type="spellStart"/>
      <w:proofErr w:type="spellEnd"/>
      <w:r>
        <w:rPr>
          <w:i/>
        </w:rPr>
        <w:t xml:space="preserve">Reliable sentiment analysis of Malaysian Malay-English code-mixed text depends on reliable labels. Yet the four resources reviewed here provide limited evidence that their labels reflect how bilingual users express opinions. This review examines the linguistic difficulties of annotation, compares human and automatic labelling, and assesses the reliability evidence reported for these resources. It distinguishes genuinely neutral messages from cases where a sentiment cue may have been missed. MESocSentiment illustrates the concern: 78.23% of its posts are labelled neutral, and its published examples include positive Malay expressions labelled neutral by automatic tools. These examples justify further validation but do not show the corpus-wide error rate. The review also explains why class imbalance complicates Cohen's kappa. Future work should report agreement for the intended task, preserve individual judgements, provide guidance for particles such as </w:t>
      </w:r>
      <w:r>
        <w:rPr>
          <w:i/>
        </w:rPr>
        <w:t>lah</w:t>
      </w:r>
      <w:r>
        <w:rPr>
          <w:i/>
        </w:rPr>
        <w:t>, and test whether annotators share errors. Clearer evidence of label quality is necessary for dependable training and evaluation.</w:t>
      </w:r>
    </w:p>
    <w:p w14:paraId="7AACAB03" w14:textId="77777777"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sentiment analysis, code-mixed text, Manglish, annotation reliability, inter-annotator agreement</w:t>
      </w:r>
    </w:p>
    <w:p w14:paraId="4D29907E" w14:textId="77777777" w:rsidR="00EE11D5" w:rsidRPr="006546A0" w:rsidRDefault="00EE11D5">
      <w:pPr>
        <w:tabs>
          <w:tab w:val="left" w:pos="24"/>
        </w:tabs>
        <w:jc w:val="both"/>
        <w:rPr>
          <w:sz w:val="24"/>
          <w:szCs w:val="24"/>
        </w:rPr>
      </w:pPr>
    </w:p>
    <w:p w14:paraId="4E991C19" w14:textId="77777777" w:rsidR="00EE11D5" w:rsidRPr="00D540FD" w:rsidRDefault="00000000" w:rsidP="00D540FD">
      <w:pPr>
        <w:pStyle w:val="Heading1"/>
        <w:jc w:val="left"/>
        <w:rPr>
          <w:sz w:val="26"/>
          <w:szCs w:val="26"/>
        </w:rPr>
      </w:pPr>
      <w:r w:rsidRPr="00D540FD">
        <w:rPr>
          <w:sz w:val="26"/>
          <w:szCs w:val="26"/>
        </w:rPr>
        <w:t>1. Introduction</w:t>
      </w:r>
    </w:p>
    <w:p w14:paraId="547B208C" w14:textId="0094F474" w:rsidR="00C604DC" w:rsidRPr="00693B7E" w:rsidRDefault="005864E7">
      <w:pPr>
        <w:spacing w:before="120"/>
        <w:ind w:firstLine="244"/>
        <w:jc w:val="both"/>
        <w:rPr>
          <w:sz w:val="24"/>
          <w:szCs w:val="24"/>
        </w:rPr>
      </w:pPr>
      <w:proofErr w:type="spellStart"/>
      <w:proofErr w:type="spellEnd"/>
      <w:proofErr w:type="spellStart"/>
      <w:proofErr w:type="spellEnd"/>
      <w:r>
        <w:rPr>
          <w:i w:val="0"/>
        </w:rPr>
        <w:t>Sentiment analysis, also known as opinion mining, identifies whether a piece of text expresses a positive, negative or neutral opinion (Poria et al., 2023). It is used to study public opinion in areas such as consumer services, healthcare, elections and financial services (Nazir et al., 2022). Most sentiment resources, however, are developed mainly for individual languages (Joshi et al., 2020). This creates a problem when two languages appear in the same message, a pattern known as code-switching. Sentiment cues may come from either language, while a monolingual resource may represent only one well. Code-switched text therefore often produces lower performance than comparable monolingual text, although the size of the gap varies by task (Doğruöz et al., 2021; Winata et al., 2023).</w:t>
      </w:r>
    </w:p>
    <w:p w14:paraId="09379418" w14:textId="0866FA68" w:rsidR="00754684" w:rsidRPr="00C604DC" w:rsidRDefault="00C604DC" w:rsidP="00C604DC">
      <w:pPr>
        <w:spacing w:before="120"/>
        <w:ind w:firstLine="244"/>
        <w:jc w:val="both"/>
        <w:rPr>
          <w:lang w:val="en-GB"/>
        </w:rPr>
      </w:pPr>
      <w:proofErr w:type="spellStart"/>
      <w:proofErr w:type="spellEnd"/>
      <w:proofErr w:type="spellStart"/>
      <w:proofErr w:type="spellEnd"/>
      <w:proofErr w:type="spellStart"/>
      <w:proofErr w:type="spellEnd"/>
      <w:proofErr w:type="spellStart"/>
      <w:proofErr w:type="spellEnd"/>
      <w:proofErr w:type="spellStart"/>
      <w:proofErr w:type="spellEnd"/>
      <w:r>
        <w:rPr>
          <w:i w:val="0"/>
        </w:rPr>
        <w:t xml:space="preserve">Malay-English mixing is common in Malaysian social media and written communication (AlAfnan et al., 2025). This review uses </w:t>
      </w:r>
      <w:r>
        <w:rPr>
          <w:i/>
        </w:rPr>
        <w:t>Manglish</w:t>
      </w:r>
      <w:r>
        <w:rPr>
          <w:i w:val="0"/>
        </w:rPr>
        <w:t xml:space="preserve"> for the Malay-English combination and distinguishes it from the broader </w:t>
      </w:r>
      <w:r>
        <w:rPr>
          <w:i/>
        </w:rPr>
        <w:t>Bahasa Rojak</w:t>
      </w:r>
      <w:r>
        <w:rPr>
          <w:i w:val="0"/>
        </w:rPr>
        <w:t xml:space="preserve">, which may also include Chinese (Romadhona et al., 2022). Treffers-Daller et al. (2022) identify recurring patterns in Malay-English switching, while Maskat and Rahman (2020) document spellings such as </w:t>
      </w:r>
      <w:r>
        <w:rPr>
          <w:i/>
        </w:rPr>
        <w:t>x</w:t>
      </w:r>
      <w:r>
        <w:rPr>
          <w:i w:val="0"/>
        </w:rPr>
        <w:t xml:space="preserve"> for </w:t>
      </w:r>
      <w:r>
        <w:rPr>
          <w:i/>
        </w:rPr>
        <w:t>tidak</w:t>
      </w:r>
      <w:r>
        <w:rPr>
          <w:i w:val="0"/>
        </w:rPr>
        <w:t>. These local forms may be absent from standard language resources. A sentiment tool can therefore miss a word, a negation or another cue that is clear to a Malaysian reader (Abu Bakar et al., 2020).</w:t>
      </w:r>
    </w:p>
    <w:p w14:paraId="34390A47" w14:textId="5FE7993A" w:rsidR="00754684" w:rsidRPr="00114CCC" w:rsidRDefault="00114CCC" w:rsidP="00114CCC">
      <w:pPr>
        <w:spacing w:before="120"/>
        <w:ind w:firstLine="244"/>
        <w:jc w:val="both"/>
        <w:rPr>
          <w:lang w:val="en-GB"/>
        </w:rPr>
      </w:pPr>
      <w:proofErr w:type="spellStart"/>
      <w:proofErr w:type="spellEnd"/>
      <w:proofErr w:type="spellStart"/>
      <w:proofErr w:type="spellEnd"/>
      <w:proofErr w:type="spellStart"/>
      <w:proofErr w:type="spellEnd"/>
      <w:proofErr w:type="spellStart"/>
      <w:proofErr w:type="spellEnd"/>
      <w:r>
        <w:rPr>
          <w:i w:val="0"/>
        </w:rPr>
        <w:t>Existing language models are one source of this difficulty. Models such as mBERT and XLM-R are trained mainly on monolingual corpora and may have limited exposure to code-switched text (Doğruöz et al., 2021). Multilingual models therefore do not always represent code-switched text well (Winata et al., 2021), and broader multilingual coverage can create trade-offs in model capacity (Conneau et al., 2020). Fine-tuning on code-switched data can improve performance (Khanuja et al., 2020), but the improvement varies across languages and training conditions (Adilazuarda et al., 2022). Models explain part of the problem, but not all of it.</w:t>
      </w:r>
    </w:p>
    <w:p w14:paraId="0B4C0A0E" w14:textId="328A3391" w:rsidR="00754684" w:rsidRPr="0085568D" w:rsidRDefault="00000000" w:rsidP="0085568D">
      <w:pPr>
        <w:spacing w:before="120"/>
        <w:ind w:firstLine="244"/>
        <w:jc w:val="both"/>
        <w:rPr>
          <w:lang w:val="en-GB"/>
        </w:rPr>
      </w:pPr>
      <w:proofErr w:type="spellStart"/>
      <w:proofErr w:type="spellEnd"/>
      <w:proofErr w:type="spellStart"/>
      <w:proofErr w:type="spellEnd"/>
      <w:r>
        <w:rPr>
          <w:i w:val="0"/>
        </w:rPr>
        <w:t>A second problem appears before a model is trained: the sentiment labels may be unreliable. Supervised sentiment analysis uses labelled examples for both training and evaluation (Poria et al., 2023). Wrong training labels can teach a model the wrong patterns (Frénay and Verleysen, 2014). Wrong test labels can distort reported performance and even change the ranking of competing models (Northcutt et al., 2021). Benchmark results are therefore only as trustworthy as the labels used to produce them (Bowman and Dahl, 2021).</w:t>
      </w:r>
    </w:p>
    <w:p w14:paraId="7F2A80C4" w14:textId="357F3D5E" w:rsidR="00754684" w:rsidRPr="00693B7E" w:rsidRDefault="00000000">
      <w:pPr>
        <w:spacing w:before="120"/>
        <w:ind w:firstLine="244"/>
        <w:jc w:val="both"/>
        <w:rPr>
          <w:sz w:val="24"/>
          <w:szCs w:val="24"/>
          <w:lang w:val="en-GB"/>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val="0"/>
        </w:rPr>
        <w:t>This review identifies four Malaysian Malay-English sentiment resources: MY-EN-CS, SentiBahasaRojak, MyCovid-Senti and MESocSentiment (Kasmuri and Basiron, 2019; Romadhona et al., 2022; Kong et al., 2023; Mohd Shamsuddin et al., 2024). For general-purpose use, a resource would ideally contain at least ten thousand labelled messages, avoid domination by one class, represent everyday social-media language, and report direct evidence of label reliability. Each resource meets some of these needs, but none meets all four.</w:t>
      </w:r>
    </w:p>
    <w:p w14:paraId="1C9ADC90" w14:textId="77777777" w:rsidR="00754684" w:rsidRPr="00693B7E" w:rsidRDefault="00000000">
      <w:pPr>
        <w:spacing w:before="120"/>
        <w:ind w:firstLine="244"/>
        <w:jc w:val="both"/>
        <w:rPr>
          <w:sz w:val="24"/>
          <w:szCs w:val="24"/>
          <w:lang w:val="en-GB"/>
        </w:rPr>
      </w:pPr>
      <w:proofErr w:type="spellStart"/>
      <w:proofErr w:type="spellEnd"/>
      <w:proofErr w:type="spellStart"/>
      <w:proofErr w:type="spellEnd"/>
      <w:proofErr w:type="spellStart"/>
      <w:proofErr w:type="spellEnd"/>
      <w:proofErr w:type="spellStart"/>
      <w:proofErr w:type="spellEnd"/>
      <w:r>
        <w:rPr>
          <w:i w:val="0"/>
        </w:rPr>
        <w:t>MESocSentiment raises the clearest concern. It is the largest resource, but 78.23% of its posts are labelled neutral (Mohd Shamsuddin et al., 2024). The study also gives examples where automatic tools miss positive Malay sentiment. These examples do not show the corpus-wide error rate, but they justify further validation. Reliability reporting is also incomplete. MyCovid-Senti and MESocSentiment report no inter-annotator agreement coefficient (Kong et al., 2023; Mohd Shamsuddin et al., 2024). MY-EN-CS and SentiBahasaRojak report agreement only for binary tasks, not for positive, negative and neutral labelling (Kasmuri and Basiron, 2019; Romadhona et al., 2022).</w:t>
      </w:r>
    </w:p>
    <w:p w14:paraId="7C0C2F70" w14:textId="77777777" w:rsidR="00754684" w:rsidRPr="00693B7E" w:rsidRDefault="00000000">
      <w:pPr>
        <w:spacing w:before="120"/>
        <w:ind w:firstLine="244"/>
        <w:jc w:val="both"/>
        <w:rPr>
          <w:sz w:val="24"/>
          <w:szCs w:val="24"/>
          <w:lang w:val="en-GB"/>
        </w:rPr>
      </w:pPr>
      <w:proofErr w:type="spellStart"/>
      <w:proofErr w:type="spellEnd"/>
      <w:proofErr w:type="spellStart"/>
      <w:proofErr w:type="spellEnd"/>
      <w:r>
        <w:rPr>
          <w:i w:val="0"/>
        </w:rPr>
        <w:t>Agreement measures also require careful interpretation. Researchers often ask independent annotators to label the same items and calculate a chance-corrected measure such as Cohen's kappa (κ) (Cohen, 1960; Artstein and Poesio, 2008). When one class dominates, κ can become difficult to interpret because chance agreement changes with the annotators' label distributions (Feinstein and Cicchetti, 1990; Byrt et al., 1993; Di Eugenio and Glass, 2004). A neutral-heavy corpus therefore needs both label validation and careful agreement analysis. These concerns add to the shortage of annotated resources for code-mixed Malay reported by Selvaraju et al. (2024).</w:t>
      </w:r>
    </w:p>
    <w:p w14:paraId="7A84E58D" w14:textId="77777777" w:rsidR="00754684" w:rsidRPr="00693B7E" w:rsidRDefault="00000000">
      <w:pPr>
        <w:spacing w:before="120"/>
        <w:ind w:firstLine="244"/>
        <w:jc w:val="both"/>
        <w:rPr>
          <w:sz w:val="24"/>
          <w:szCs w:val="24"/>
          <w:lang w:val="en-GB"/>
        </w:rPr>
      </w:pPr>
      <w:r>
        <w:rPr>
          <w:i w:val="0"/>
        </w:rPr>
        <w:t>This review therefore asks why reliable annotation and evaluation of Malaysian Malay-English code-mixed sentiment data have not yet been established. It focuses on linguistic, labelling and evaluation issues that affect this question. It does not compare sentiment classifiers or survey sentiment analysis as a whole, topics reviewed elsewhere (Poria et al., 2023; Nazir et al., 2022). Nor does it propose a new system. Instead, it explains why confidence in existing labels remains limited and identifies priorities for future work.</w:t>
      </w:r>
    </w:p>
    <w:p w14:paraId="3313E2DC" w14:textId="77777777" w:rsidR="00754684" w:rsidRPr="00693B7E" w:rsidRDefault="00000000">
      <w:pPr>
        <w:spacing w:before="120"/>
        <w:ind w:firstLine="244"/>
        <w:jc w:val="both"/>
        <w:rPr>
          <w:sz w:val="24"/>
          <w:szCs w:val="24"/>
          <w:lang w:val="en-GB"/>
        </w:rPr>
      </w:pPr>
      <w:r>
        <w:rPr>
          <w:i w:val="0"/>
        </w:rPr>
        <w:t>The review makes three contributions:</w:t>
      </w:r>
    </w:p>
    <w:p w14:paraId="1CF2F115" w14:textId="77777777" w:rsidR="00754684" w:rsidRPr="00693B7E" w:rsidRDefault="00000000">
      <w:pPr>
        <w:numPr>
          <w:ilvl w:val="0"/>
          <w:numId w:val="5"/>
        </w:numPr>
        <w:spacing w:before="120"/>
        <w:jc w:val="both"/>
        <w:rPr>
          <w:sz w:val="24"/>
          <w:szCs w:val="24"/>
          <w:lang w:val="en-GB"/>
        </w:rPr>
      </w:pPr>
      <w:r>
        <w:rPr>
          <w:i w:val="0"/>
        </w:rPr>
        <w:t>It compares manual annotation, existing sentiment tools and generative models in terms of human effort and evidence of label reliability.</w:t>
      </w:r>
    </w:p>
    <w:p w14:paraId="2F178055" w14:textId="77777777" w:rsidR="00754684" w:rsidRPr="00693B7E" w:rsidRDefault="00000000">
      <w:pPr>
        <w:numPr>
          <w:ilvl w:val="0"/>
          <w:numId w:val="5"/>
        </w:numPr>
        <w:spacing w:before="120"/>
        <w:jc w:val="both"/>
        <w:rPr>
          <w:sz w:val="24"/>
          <w:szCs w:val="24"/>
          <w:lang w:val="en-GB"/>
        </w:rPr>
      </w:pPr>
      <w:r>
        <w:rPr>
          <w:i w:val="0"/>
        </w:rPr>
        <w:t>It separates missed sentiment cues from genuine differences in interpretation and assesses the reliability evidence reported for four Malay-English sentiment resources.</w:t>
      </w:r>
    </w:p>
    <w:p w14:paraId="33A2FE38" w14:textId="77777777" w:rsidR="00754684" w:rsidRPr="00693B7E" w:rsidRDefault="00000000">
      <w:pPr>
        <w:numPr>
          <w:ilvl w:val="0"/>
          <w:numId w:val="5"/>
        </w:numPr>
        <w:spacing w:before="120"/>
        <w:jc w:val="both"/>
        <w:rPr>
          <w:sz w:val="24"/>
          <w:szCs w:val="24"/>
          <w:lang w:val="en-GB"/>
        </w:rPr>
      </w:pPr>
      <w:r>
        <w:rPr>
          <w:i w:val="0"/>
        </w:rPr>
        <w:t>It explains how linguistic difficulty, labelling choices and class imbalance interact, and identifies priorities for more reliable annotation and evaluation.</w:t>
      </w:r>
    </w:p>
    <w:p w14:paraId="72ADDC18" w14:textId="3650E474" w:rsidR="005055C8" w:rsidRDefault="005055C8">
      <w:pPr>
        <w:spacing w:before="120"/>
        <w:ind w:firstLine="244"/>
        <w:jc w:val="both"/>
        <w:rPr>
          <w:sz w:val="24"/>
          <w:szCs w:val="24"/>
          <w:lang w:val="en-GB"/>
        </w:rPr>
      </w:pPr>
      <w:r>
        <w:rPr>
          <w:i w:val="0"/>
        </w:rPr>
        <w:t>Section 2 explains how the literature was selected. Section 3 describes linguistic challenges for annotation. Section 4 compares annotation approaches and their limitations. Section 5 examines reliability evidence. Section 6 connects these problems and proposes research priorities. Section 7 concludes.</w:t>
      </w:r>
    </w:p>
    <w:p w14:paraId="6A934FB1" w14:textId="77777777" w:rsidR="005055C8" w:rsidRDefault="005055C8" w:rsidP="005055C8">
      <w:pPr>
        <w:spacing w:before="120"/>
        <w:jc w:val="both"/>
        <w:rPr>
          <w:sz w:val="24"/>
          <w:szCs w:val="24"/>
          <w:lang w:val="en-GB"/>
        </w:rPr>
      </w:pPr>
    </w:p>
    <w:p w14:paraId="5A5A9EAB" w14:textId="77777777" w:rsidR="005055C8" w:rsidRPr="005055C8" w:rsidRDefault="005055C8" w:rsidP="005055C8">
      <w:pPr>
        <w:pStyle w:val="Heading1"/>
        <w:jc w:val="left"/>
        <w:rPr>
          <w:sz w:val="26"/>
          <w:szCs w:val="26"/>
          <w:lang w:val="en-GB"/>
        </w:rPr>
      </w:pPr>
      <w:r w:rsidRPr="005055C8">
        <w:rPr>
          <w:sz w:val="26"/>
          <w:szCs w:val="26"/>
          <w:lang w:val="en-GB"/>
        </w:rPr>
        <w:t>2. Review Methodology</w:t>
      </w:r>
    </w:p>
    <w:p w14:paraId="6185F9A9" w14:textId="77777777" w:rsidR="005055C8" w:rsidRPr="005055C8" w:rsidRDefault="005055C8" w:rsidP="005055C8">
      <w:pPr>
        <w:spacing w:before="120"/>
        <w:ind w:firstLine="244"/>
        <w:jc w:val="both"/>
        <w:rPr>
          <w:sz w:val="24"/>
          <w:szCs w:val="24"/>
          <w:lang w:val="en-GB"/>
        </w:rPr>
      </w:pPr>
      <w:r>
        <w:rPr>
          <w:i w:val="0"/>
        </w:rPr>
        <w:t xml:space="preserve">The literature was identified through structured searches of the ACL Anthology, IEEE Xplore and Scopus. The searches combined three groups of terms. The first group described the language variety: </w:t>
      </w:r>
      <w:r>
        <w:rPr>
          <w:i/>
        </w:rPr>
        <w:t>code-mixed</w:t>
      </w:r>
      <w:r>
        <w:rPr>
          <w:i w:val="0"/>
        </w:rPr>
        <w:t xml:space="preserve">, </w:t>
      </w:r>
      <w:r>
        <w:rPr>
          <w:i/>
        </w:rPr>
        <w:t>code-switching</w:t>
      </w:r>
      <w:r>
        <w:rPr>
          <w:i w:val="0"/>
        </w:rPr>
        <w:t xml:space="preserve">, </w:t>
      </w:r>
      <w:r>
        <w:rPr>
          <w:i/>
        </w:rPr>
        <w:t>Manglish</w:t>
      </w:r>
      <w:r>
        <w:rPr>
          <w:i w:val="0"/>
        </w:rPr>
        <w:t xml:space="preserve">, </w:t>
      </w:r>
      <w:r>
        <w:rPr>
          <w:i/>
        </w:rPr>
        <w:t>Bahasa Rojak</w:t>
      </w:r>
      <w:r>
        <w:rPr>
          <w:i w:val="0"/>
        </w:rPr>
        <w:t xml:space="preserve"> and </w:t>
      </w:r>
      <w:r>
        <w:rPr>
          <w:i/>
        </w:rPr>
        <w:t>Malay-English</w:t>
      </w:r>
      <w:r>
        <w:rPr>
          <w:i w:val="0"/>
        </w:rPr>
        <w:t xml:space="preserve">. The second described the task: </w:t>
      </w:r>
      <w:r>
        <w:rPr>
          <w:i/>
        </w:rPr>
        <w:t>sentiment analysis</w:t>
      </w:r>
      <w:r>
        <w:rPr>
          <w:i w:val="0"/>
        </w:rPr>
        <w:t xml:space="preserve">, </w:t>
      </w:r>
      <w:r>
        <w:rPr>
          <w:i/>
        </w:rPr>
        <w:t>polarity</w:t>
      </w:r>
      <w:r>
        <w:rPr>
          <w:i w:val="0"/>
        </w:rPr>
        <w:t xml:space="preserve"> and </w:t>
      </w:r>
      <w:r>
        <w:rPr>
          <w:i/>
        </w:rPr>
        <w:t>opinion mining</w:t>
      </w:r>
      <w:r>
        <w:rPr>
          <w:i w:val="0"/>
        </w:rPr>
        <w:t xml:space="preserve">. The third described the main object of this review: </w:t>
      </w:r>
      <w:r>
        <w:rPr>
          <w:i/>
        </w:rPr>
        <w:t>corpus</w:t>
      </w:r>
      <w:r>
        <w:rPr>
          <w:i w:val="0"/>
        </w:rPr>
        <w:t xml:space="preserve">, </w:t>
      </w:r>
      <w:r>
        <w:rPr>
          <w:i/>
        </w:rPr>
        <w:t>annotation</w:t>
      </w:r>
      <w:r>
        <w:rPr>
          <w:i w:val="0"/>
        </w:rPr>
        <w:t xml:space="preserve">, </w:t>
      </w:r>
      <w:r>
        <w:rPr>
          <w:i/>
        </w:rPr>
        <w:t>inter-annotator agreement</w:t>
      </w:r>
      <w:r>
        <w:rPr>
          <w:i w:val="0"/>
        </w:rPr>
        <w:t xml:space="preserve"> and </w:t>
      </w:r>
      <w:r>
        <w:rPr>
          <w:i/>
        </w:rPr>
        <w:t>label quality</w:t>
      </w:r>
      <w:r>
        <w:rPr>
          <w:i w:val="0"/>
        </w:rPr>
        <w:t>.</w:t>
      </w:r>
    </w:p>
    <w:p w14:paraId="6BC7A5AE" w14:textId="77777777" w:rsidR="005055C8" w:rsidRPr="005055C8" w:rsidRDefault="005055C8" w:rsidP="005055C8">
      <w:pPr>
        <w:spacing w:before="120"/>
        <w:ind w:firstLine="244"/>
        <w:jc w:val="both"/>
        <w:rPr>
          <w:sz w:val="24"/>
          <w:szCs w:val="24"/>
          <w:lang w:val="en-GB"/>
        </w:rPr>
      </w:pPr>
      <w:r>
        <w:rPr>
          <w:i w:val="0"/>
        </w:rPr>
        <w:t>The main search covered studies published from 2019 to 2026. Earlier studies were added when they were cited by the papers found in the search. Work on inter-annotator agreement was not restricted by this date range because several widely used agreement measures were introduced before 2019.</w:t>
      </w:r>
    </w:p>
    <w:p w14:paraId="652BE385" w14:textId="77777777" w:rsidR="005055C8" w:rsidRPr="005055C8" w:rsidRDefault="005055C8" w:rsidP="005055C8">
      <w:pPr>
        <w:spacing w:before="120"/>
        <w:ind w:firstLine="244"/>
        <w:jc w:val="both"/>
        <w:rPr>
          <w:sz w:val="24"/>
          <w:szCs w:val="24"/>
          <w:lang w:val="en-GB"/>
        </w:rPr>
      </w:pPr>
      <w:r>
        <w:rPr>
          <w:i w:val="0"/>
        </w:rPr>
        <w:t>A study was included if it met four criteria. It had to (1) examine Malaysian Malay-English code-mixed text, or present annotation or reliability methods that could be applied to it; (2) explain how labels were produced and checked; (3) be published in a peer-reviewed journal or conference; and (4) contain an annotation or reliability component. Preprints without a peer-reviewed version were excluded.</w:t>
      </w:r>
    </w:p>
    <w:p w14:paraId="6549FAE3" w14:textId="74C1565E" w:rsidR="006546A0" w:rsidRPr="00626F2E" w:rsidRDefault="005055C8" w:rsidP="00626F2E">
      <w:pPr>
        <w:spacing w:before="120"/>
        <w:ind w:firstLine="244"/>
        <w:jc w:val="both"/>
        <w:rPr>
          <w:sz w:val="24"/>
          <w:szCs w:val="24"/>
          <w:lang w:val="en-GB"/>
        </w:rPr>
      </w:pPr>
      <w:r>
        <w:rPr>
          <w:i w:val="0"/>
        </w:rPr>
        <w:t>The fourth criterion keeps the review focused on label quality. Studies that only report classifier accuracy on an existing corpus were excluded because they assume that the corpus labels are already correct. This review asks a different question: what evidence shows that those labels are reliable?</w:t>
      </w:r>
    </w:p>
    <w:p w14:paraId="622AC954" w14:textId="64681D62" w:rsidR="00CC1986" w:rsidRDefault="005055C8" w:rsidP="004E55A3">
      <w:pPr>
        <w:pStyle w:val="Heading1"/>
        <w:spacing w:before="240" w:after="120"/>
        <w:jc w:val="both"/>
      </w:pPr>
      <w:r>
        <w:rPr>
          <w:color w:val="000000"/>
          <w:sz w:val="26"/>
        </w:rPr>
        <w:t>3. Linguistic Challenges for Annotation</w:t>
      </w:r>
    </w:p>
    <w:p w14:paraId="1E7A86D1" w14:textId="77777777" w:rsidR="00CC1986" w:rsidRDefault="00000000" w:rsidP="004E55A3">
      <w:pPr>
        <w:spacing w:after="120"/>
        <w:ind w:firstLine="216"/>
        <w:jc w:val="both"/>
      </w:pPr>
      <w:r>
        <w:rPr>
          <w:i w:val="0"/>
        </w:rPr>
        <w:t>Reliable annotation requires attention to three features of Malay-English text: language switching, context-dependent particles and non-standard spelling.</w:t>
      </w:r>
    </w:p>
    <w:p w14:paraId="5D92B799" w14:textId="661FAB39" w:rsidR="00CC1986" w:rsidRDefault="005055C8" w:rsidP="004E55A3">
      <w:pPr>
        <w:pStyle w:val="Heading2"/>
        <w:spacing w:after="120"/>
        <w:jc w:val="both"/>
      </w:pPr>
      <w:r>
        <w:rPr>
          <w:rFonts w:ascii="Times New Roman" w:hAnsi="Times New Roman"/>
          <w:i w:val="0"/>
          <w:color w:val="000000"/>
        </w:rPr>
        <w:t>3.1 Sentiment across language boundaries</w:t>
      </w:r>
    </w:p>
    <w:p w14:paraId="609A40D9" w14:textId="77777777" w:rsidR="00CC1986" w:rsidRDefault="00000000" w:rsidP="004E55A3">
      <w:pPr>
        <w:spacing w:after="120"/>
        <w:ind w:firstLine="216"/>
        <w:jc w:val="both"/>
      </w:pPr>
      <w:proofErr w:type="spellStart"/>
      <w:proofErr w:type="spellEnd"/>
      <w:r>
        <w:rPr>
          <w:i w:val="0"/>
        </w:rPr>
        <w:t>A sentiment label must reflect the whole message, even when it switches between Malay and English. Treffers-Daller et al. (2022) found frequent switching within clauses in Malaysian classroom speech. Their study shows how both languages can appear within one sentence, although it does not show how often this occurs in social-media text.</w:t>
      </w:r>
    </w:p>
    <w:p w14:paraId="18B69DA0" w14:textId="77777777" w:rsidR="00CC1986" w:rsidRDefault="00000000" w:rsidP="004E55A3">
      <w:pPr>
        <w:spacing w:after="120"/>
        <w:ind w:firstLine="216"/>
        <w:jc w:val="both"/>
      </w:pPr>
      <w:proofErr w:type="spellStart"/>
      <w:proofErr w:type="spellEnd"/>
      <w:r>
        <w:rPr>
          <w:i w:val="0"/>
        </w:rPr>
        <w:t>For annotation, the key question is whether the reader or tool recognises the words that carry the opinion. A tool may process the English part correctly but miss sentiment expressed in Malay. Bilingual annotators can read both languages, but they still need clear rules when a message contains several opinions or targets (Mohammad, 2016).</w:t>
      </w:r>
    </w:p>
    <w:p w14:paraId="30C9BFF8" w14:textId="4542B35E" w:rsidR="00CC1986" w:rsidRDefault="005055C8" w:rsidP="004E55A3">
      <w:pPr>
        <w:pStyle w:val="Heading2"/>
        <w:spacing w:after="120"/>
        <w:jc w:val="both"/>
      </w:pPr>
      <w:r>
        <w:rPr>
          <w:rFonts w:ascii="Times New Roman" w:hAnsi="Times New Roman"/>
          <w:i w:val="0"/>
          <w:color w:val="000000"/>
        </w:rPr>
        <w:t>3.2 Particles and context</w:t>
      </w:r>
    </w:p>
    <w:p w14:paraId="46D65374" w14:textId="77777777" w:rsidR="00CC1986" w:rsidRDefault="00000000" w:rsidP="004E55A3">
      <w:pPr>
        <w:spacing w:after="120"/>
        <w:ind w:firstLine="216"/>
        <w:jc w:val="both"/>
      </w:pPr>
      <w:proofErr w:type="spellStart"/>
      <w:proofErr w:type="spellEnd"/>
      <w:proofErr w:type="spellStart"/>
      <w:proofErr w:type="spellEnd"/>
      <w:proofErr w:type="spellStart"/>
      <w:proofErr w:type="spellEnd"/>
      <w:r>
        <w:rPr>
          <w:i w:val="0"/>
        </w:rPr>
        <w:t xml:space="preserve">Particles such as </w:t>
      </w:r>
      <w:r>
        <w:rPr>
          <w:i/>
        </w:rPr>
        <w:t>lah</w:t>
      </w:r>
      <w:r>
        <w:rPr>
          <w:i w:val="0"/>
        </w:rPr>
        <w:t xml:space="preserve"> can change a message's tone without changing its basic content. Treffers-Daller et al. (2022) describe functions ranging from assertiveness to encouragement. AlAfnan et al. (2025), for example, use "Don't disturb la, he's busy" to show a softened instruction. These studies examine classroom speech and television dialogue, so they show possible functions rather than their frequency in social-media writing.</w:t>
      </w:r>
    </w:p>
    <w:p w14:paraId="274C521F" w14:textId="77777777" w:rsidR="00CC1986" w:rsidRDefault="00000000" w:rsidP="004E55A3">
      <w:pPr>
        <w:spacing w:after="120"/>
        <w:ind w:firstLine="216"/>
        <w:jc w:val="both"/>
      </w:pPr>
      <w:proofErr w:type="spellStart"/>
      <w:proofErr w:type="spellEnd"/>
      <w:r>
        <w:rPr>
          <w:i w:val="0"/>
        </w:rPr>
        <w:t xml:space="preserve">A particle such as </w:t>
      </w:r>
      <w:r>
        <w:rPr>
          <w:i/>
        </w:rPr>
        <w:t>lah</w:t>
      </w:r>
      <w:r>
        <w:rPr>
          <w:i w:val="0"/>
        </w:rPr>
        <w:t xml:space="preserve"> does not carry one fixed sentiment. The same expression may sound irritated in one context and polite in another. Guidelines should therefore separate tone from sentiment polarity rather than assign the particle a fixed positive or negative label.</w:t>
      </w:r>
    </w:p>
    <w:p w14:paraId="35F745F4" w14:textId="6E1F38EB" w:rsidR="00CC1986" w:rsidRDefault="005055C8" w:rsidP="004E55A3">
      <w:pPr>
        <w:pStyle w:val="Heading2"/>
        <w:spacing w:after="120"/>
        <w:jc w:val="both"/>
      </w:pPr>
      <w:r>
        <w:rPr>
          <w:rFonts w:ascii="Times New Roman" w:hAnsi="Times New Roman"/>
          <w:i w:val="0"/>
          <w:color w:val="000000"/>
        </w:rPr>
        <w:t>3.3 Spelling variation</w:t>
      </w:r>
    </w:p>
    <w:p w14:paraId="6A43818C" w14:textId="77777777" w:rsidR="00CC1986" w:rsidRDefault="00000000" w:rsidP="004E55A3">
      <w:pPr>
        <w:spacing w:after="120"/>
        <w:ind w:firstLine="216"/>
        <w:jc w:val="both"/>
      </w:pPr>
      <w:proofErr w:type="spellStart"/>
      <w:proofErr w:type="spellEnd"/>
      <w:proofErr w:type="spellStart"/>
      <w:proofErr w:type="spellEnd"/>
      <w:proofErr w:type="spellStart"/>
      <w:proofErr w:type="spellEnd"/>
      <w:proofErr w:type="spellStart"/>
      <w:proofErr w:type="spellEnd"/>
      <w:proofErr w:type="spellStart"/>
      <w:proofErr w:type="spellEnd"/>
      <w:r>
        <w:rPr>
          <w:i w:val="0"/>
        </w:rPr>
        <w:t xml:space="preserve">Non-standard spelling can hide familiar words from automatic tools. Maskat and Rahman (2020) document forms such as </w:t>
      </w:r>
      <w:r>
        <w:rPr>
          <w:i/>
        </w:rPr>
        <w:t>jgn</w:t>
      </w:r>
      <w:r>
        <w:rPr>
          <w:i w:val="0"/>
        </w:rPr>
        <w:t xml:space="preserve"> for </w:t>
      </w:r>
      <w:r>
        <w:rPr>
          <w:i/>
        </w:rPr>
        <w:t>jangan</w:t>
      </w:r>
      <w:r>
        <w:rPr>
          <w:i w:val="0"/>
        </w:rPr>
        <w:t xml:space="preserve"> and several spellings of </w:t>
      </w:r>
      <w:r>
        <w:rPr>
          <w:i/>
        </w:rPr>
        <w:t>macam mana</w:t>
      </w:r>
      <w:r>
        <w:rPr>
          <w:i w:val="0"/>
        </w:rPr>
        <w:t>. Their spelling-normalisation experiment achieved a highest precision of 0.43, so fewer than half of the proposed matches were correct. English words and code-mixed posts were excluded from the evaluation, so this result should not be treated as performance on Malay-English code-mixed text.</w:t>
      </w:r>
    </w:p>
    <w:p w14:paraId="3ACDC4E1" w14:textId="77777777" w:rsidR="00CC1986" w:rsidRDefault="00000000" w:rsidP="004E55A3">
      <w:pPr>
        <w:spacing w:after="120"/>
        <w:ind w:firstLine="216"/>
        <w:jc w:val="both"/>
      </w:pPr>
      <w:proofErr w:type="spellStart"/>
      <w:proofErr w:type="spellEnd"/>
      <w:proofErr w:type="spellStart"/>
      <w:proofErr w:type="spellEnd"/>
      <w:r>
        <w:rPr>
          <w:i w:val="0"/>
        </w:rPr>
        <w:t xml:space="preserve">Negation shows why this matters for sentiment. As noted in Section 1, </w:t>
      </w:r>
      <w:r>
        <w:rPr>
          <w:i/>
        </w:rPr>
        <w:t>x</w:t>
      </w:r>
      <w:r>
        <w:rPr>
          <w:i w:val="0"/>
        </w:rPr>
        <w:t xml:space="preserve"> can represent </w:t>
      </w:r>
      <w:r>
        <w:rPr>
          <w:i/>
        </w:rPr>
        <w:t>tidak</w:t>
      </w:r>
      <w:r>
        <w:rPr>
          <w:i w:val="0"/>
        </w:rPr>
        <w:t>. If a tool misses that form, it may change the meaning of an opinion. Normalisation should therefore be judged by whether it preserves sentiment, not only by whether it produces a standard-looking word.</w:t>
      </w:r>
    </w:p>
    <w:p w14:paraId="0306D099" w14:textId="6A929B6D" w:rsidR="00CC1986" w:rsidRDefault="005055C8" w:rsidP="004E55A3">
      <w:pPr>
        <w:pStyle w:val="Heading1"/>
        <w:spacing w:before="240" w:after="120"/>
        <w:jc w:val="both"/>
      </w:pPr>
      <w:r>
        <w:rPr>
          <w:color w:val="000000"/>
          <w:sz w:val="26"/>
        </w:rPr>
        <w:t>4. Annotation Approaches and Their Limitations</w:t>
      </w:r>
    </w:p>
    <w:p w14:paraId="377D1D6D" w14:textId="5B755B3E" w:rsidR="00CC1986" w:rsidRDefault="005055C8" w:rsidP="004E55A3">
      <w:pPr>
        <w:pStyle w:val="Heading2"/>
        <w:spacing w:after="120"/>
        <w:jc w:val="both"/>
      </w:pPr>
      <w:r>
        <w:rPr>
          <w:rFonts w:ascii="Times New Roman" w:hAnsi="Times New Roman"/>
          <w:i w:val="0"/>
          <w:color w:val="000000"/>
        </w:rPr>
        <w:t>4.1 Human and automatic labelling</w:t>
      </w:r>
    </w:p>
    <w:p w14:paraId="55DEC001" w14:textId="77777777" w:rsidR="00CC1986" w:rsidRDefault="00000000" w:rsidP="004E55A3">
      <w:pPr>
        <w:spacing w:after="120"/>
        <w:ind w:firstLine="216"/>
        <w:jc w:val="both"/>
      </w:pPr>
      <w:proofErr w:type="spellStart"/>
      <w:proofErr w:type="spellEnd"/>
      <w:proofErr w:type="spellStart"/>
      <w:proofErr w:type="spellEnd"/>
      <w:r>
        <w:rPr>
          <w:i w:val="0"/>
        </w:rPr>
        <w:t>Both human and automatic annotators face the linguistic problems described in Section 3. Human annotators can use local language knowledge and context, but manual annotation requires time and relevant language skills. Kasmuri and Basiron (2019) developed a subjectivity corpus from blogs, while Kong et al. (2023) used three independent annotators and a written guideline to label 11,568 tweets. Human judgement helps with context, but human involvement alone does not establish reliability.</w:t>
      </w:r>
    </w:p>
    <w:p w14:paraId="5D78DC4D" w14:textId="77777777" w:rsidR="00CC1986" w:rsidRDefault="00000000" w:rsidP="004E55A3">
      <w:pPr>
        <w:spacing w:after="120"/>
        <w:ind w:firstLine="216"/>
        <w:jc w:val="both"/>
      </w:pPr>
      <w:proofErr w:type="spellStart"/>
      <w:proofErr w:type="spellEnd"/>
      <w:proofErr w:type="spellStart"/>
      <w:proofErr w:type="spellEnd"/>
      <w:r>
        <w:rPr>
          <w:i w:val="0"/>
        </w:rPr>
        <w:t>A dataset may also combine human and automatic annotation. SentiBahasaRojak contains automatically generated code-mixed reviews and stock-market posts labelled by five experts (Romadhona et al., 2022). Its reported agreement applies only to the stock-market subset. Reliability evidence should therefore be linked to the specific subset and labelling method.</w:t>
      </w:r>
    </w:p>
    <w:p w14:paraId="00A84C12" w14:textId="77777777" w:rsidR="00CC1986" w:rsidRDefault="00000000" w:rsidP="004E55A3">
      <w:pPr>
        <w:spacing w:after="120"/>
        <w:ind w:firstLine="216"/>
        <w:jc w:val="both"/>
      </w:pPr>
      <w:proofErr w:type="spellStart"/>
      <w:proofErr w:type="spellEnd"/>
      <w:proofErr w:type="spellStart"/>
      <w:proofErr w:type="spellEnd"/>
      <w:proofErr w:type="spellStart"/>
      <w:proofErr w:type="spellEnd"/>
      <w:r>
        <w:rPr>
          <w:i w:val="0"/>
        </w:rPr>
        <w:t>Automatic sentiment tools offer a faster way to assign labels. Mohd Shamsuddin et al. (2024) used TextBlob, VADER and pysentimiento to label MESocSentiment by majority vote. Although the overall construction process is described as semi-automatic, the sentiment labels themselves were assigned automatically. Their accuracy on Malay-English sentiment therefore needs separate validation.</w:t>
      </w:r>
    </w:p>
    <w:p w14:paraId="537AF6B3" w14:textId="77777777" w:rsidR="00CC1986" w:rsidRDefault="00000000" w:rsidP="004E55A3">
      <w:pPr>
        <w:spacing w:after="120"/>
        <w:ind w:firstLine="216"/>
        <w:jc w:val="both"/>
      </w:pPr>
      <w:r>
        <w:rPr>
          <w:i w:val="0"/>
        </w:rPr>
        <w:t>Generative models could also be used as annotators, but their reliability must be tested on the target task. Jadhav et al. (2025) found that GPT-4o and Llama 3.1 405B performed worse than a fine-tuned BERT model across four Marathi classification tasks, including sentiment analysis. This does not establish their performance on Malaysian text. None of the studies reviewed here directly evaluates generative annotation for Malay-English sentiment.</w:t>
      </w:r>
    </w:p>
    <w:p w14:paraId="2F5718A8" w14:textId="14BA1DFC" w:rsidR="00CC1986" w:rsidRDefault="005055C8" w:rsidP="004E55A3">
      <w:pPr>
        <w:pStyle w:val="Heading2"/>
        <w:spacing w:after="120"/>
        <w:jc w:val="both"/>
      </w:pPr>
      <w:r>
        <w:rPr>
          <w:rFonts w:ascii="Times New Roman" w:hAnsi="Times New Roman"/>
          <w:i w:val="0"/>
          <w:color w:val="000000"/>
        </w:rPr>
        <w:t>4.2 Interpreting neutral labels</w:t>
      </w:r>
    </w:p>
    <w:p w14:paraId="3B59ABFD" w14:textId="77777777" w:rsidR="00CC1986" w:rsidRDefault="00000000" w:rsidP="004E55A3">
      <w:pPr>
        <w:spacing w:after="120"/>
        <w:ind w:firstLine="216"/>
        <w:jc w:val="both"/>
      </w:pPr>
      <w:proofErr w:type="spellStart"/>
      <w:proofErr w:type="spellEnd"/>
      <w:r>
        <w:rPr>
          <w:i w:val="0"/>
        </w:rPr>
        <w:t>MESocSentiment contains 19,714 posts: 78.23% neutral, 16.33% positive and 5.44% negative (Mohd Shamsuddin et al., 2024). A large neutral class is not itself evidence of error. It may reflect the sampled topics, the annotation rules or genuinely neutral posts. The concern is whether some opinionated posts became neutral because the tools missed their sentiment cues.</w:t>
      </w:r>
    </w:p>
    <w:p w14:paraId="2DFF2C1F" w14:textId="77777777" w:rsidR="00CC1986" w:rsidRDefault="00000000" w:rsidP="004E55A3">
      <w:pPr>
        <w:spacing w:after="120"/>
        <w:ind w:firstLine="216"/>
        <w:jc w:val="both"/>
      </w:pPr>
      <w:r>
        <w:rPr>
          <w:i w:val="0"/>
        </w:rPr>
        <w:t>Two observations justify checking this possibility. MESocSentiment was collected under the #Malaysia keyword across topics such as sports, politics and the arts (Mohd Shamsuddin et al., 2024). A different Malaysian COVID-19 Twitter corpus labelled by three humans is 23.6% neutral (Kong et al., 2023). The datasets are not directly comparable, so the difference does not prove that MESocSentiment is mislabelled. It does, however, justify closer validation.</w:t>
      </w:r>
    </w:p>
    <w:p w14:paraId="7A27E345" w14:textId="77777777" w:rsidR="00CC1986" w:rsidRDefault="00000000" w:rsidP="004E55A3">
      <w:pPr>
        <w:spacing w:after="120"/>
        <w:ind w:firstLine="216"/>
        <w:jc w:val="both"/>
      </w:pPr>
      <w:proofErr w:type="spellStart"/>
      <w:proofErr w:type="spellEnd"/>
      <w:proofErr w:type="spellStart"/>
      <w:proofErr w:type="spellEnd"/>
      <w:r>
        <w:rPr>
          <w:i w:val="0"/>
        </w:rPr>
        <w:t>Limited language coverage can produce a false neutral label. VADER combines sentiment cues it recognises and assigns neutral when the resulting score is near zero (Hutto and Gilbert, 2014). If a Malay expression is absent from the tool's resources, it may contribute no sentiment signal. The neutral result may then reflect a coverage gap rather than a neutral message.</w:t>
      </w:r>
    </w:p>
    <w:p w14:paraId="6746D084" w14:textId="77777777" w:rsidR="00CC1986" w:rsidRDefault="00000000" w:rsidP="004E55A3">
      <w:pPr>
        <w:spacing w:after="120"/>
        <w:ind w:firstLine="216"/>
        <w:jc w:val="both"/>
      </w:pPr>
      <w:proofErr w:type="spellStart"/>
      <w:proofErr w:type="spellEnd"/>
      <w:proofErr w:type="spellStart"/>
      <w:proofErr w:type="spellEnd"/>
      <w:r>
        <w:rPr>
          <w:i w:val="0"/>
        </w:rPr>
        <w:t xml:space="preserve">The published MESocSentiment examples show that this can happen. Mohd Shamsuddin et al. (2024) provide six labelled examples, three of which misclassify positive Malay expressions as neutral. One is </w:t>
      </w:r>
      <w:r>
        <w:rPr>
          <w:i/>
        </w:rPr>
        <w:t>memang cantik sangat</w:t>
      </w:r>
      <w:r>
        <w:rPr>
          <w:i w:val="0"/>
        </w:rPr>
        <w:t>, meaning "really very beautiful". These cases show that Malay sentiment cues can be missed, but they do not reveal the error rate across the full corpus.</w:t>
      </w:r>
    </w:p>
    <w:p w14:paraId="22BA3AEF" w14:textId="77777777" w:rsidR="00CC1986" w:rsidRDefault="00000000" w:rsidP="004E55A3">
      <w:pPr>
        <w:spacing w:after="120"/>
        <w:ind w:firstLine="216"/>
        <w:jc w:val="both"/>
      </w:pPr>
      <w:proofErr w:type="spellStart"/>
      <w:proofErr w:type="spellEnd"/>
      <w:r>
        <w:rPr>
          <w:i w:val="0"/>
        </w:rPr>
        <w:t>Not every disagreement is an annotation error. Some messages allow more than one reasonable interpretation (Plank, 2022), and such disagreement can persist even when more judgements are collected (Pavlick and Kwiatkowski, 2019). These findings do not explain the neutral skew in MESocSentiment. They do show why "no sentiment" should be kept separate from "uncertain interpretation".</w:t>
      </w:r>
    </w:p>
    <w:p w14:paraId="5D73BAA4" w14:textId="4C3D44D7" w:rsidR="00CC1986" w:rsidRDefault="005055C8" w:rsidP="004E55A3">
      <w:pPr>
        <w:pStyle w:val="Heading2"/>
        <w:spacing w:after="120"/>
        <w:jc w:val="both"/>
      </w:pPr>
      <w:r>
        <w:rPr>
          <w:rFonts w:ascii="Times New Roman" w:hAnsi="Times New Roman"/>
          <w:i w:val="0"/>
          <w:color w:val="000000"/>
        </w:rPr>
        <w:t>4.3 Limits of majority voting</w:t>
      </w:r>
    </w:p>
    <w:p w14:paraId="3BCBFAEC" w14:textId="172E6EE4" w:rsidR="00CC1986" w:rsidRDefault="00000000" w:rsidP="004E55A3">
      <w:pPr>
        <w:spacing w:after="120"/>
        <w:ind w:firstLine="216"/>
        <w:jc w:val="both"/>
      </w:pPr>
      <w:proofErr w:type="spellStart"/>
      <w:proofErr w:type="spellEnd"/>
      <w:proofErr w:type="spellStart"/>
      <w:proofErr w:type="spellEnd"/>
      <w:proofErr w:type="spellStart"/>
      <w:proofErr w:type="spellEnd"/>
      <w:proofErr w:type="spellStart"/>
      <w:proofErr w:type="spellEnd"/>
      <w:proofErr w:type="spellStart"/>
      <w:proofErr w:type="spellEnd"/>
      <w:r>
        <w:rPr>
          <w:i w:val="0"/>
        </w:rPr>
        <w:t>Majority voting can reduce isolated mistakes, but it cannot correct an error shared by most annotators (Hovy et al., 2013). In MESocSentiment, all three analysers label most retained posts as neutral, as shown in Table 1. Pysentimiento is the only transformer-based analyser of the three (Devlin et al., 2019), yet it has the highest neutral share. This does not show that its labels are less accurate. Class totals also cannot show whether the tools mislabel the same posts. That requires comparison with labels checked independently by bilingual reviewers.</w:t>
      </w:r>
    </w:p>
    <w:p w14:paraId="5C37E640" w14:textId="443C8AE3" w:rsidR="003054D4" w:rsidRPr="003054D4" w:rsidRDefault="003054D4" w:rsidP="003054D4">
      <w:pPr>
        <w:tabs>
          <w:tab w:val="left" w:pos="24"/>
        </w:tabs>
        <w:spacing w:before="240" w:after="120"/>
        <w:jc w:val="center"/>
        <w:rPr>
          <w:sz w:val="24"/>
          <w:szCs w:val="24"/>
        </w:rPr>
      </w:pPr>
      <w:r>
        <w:rPr>
          <w:b/>
          <w:sz w:val="24"/>
          <w:szCs w:val="24"/>
        </w:rPr>
        <w:t xml:space="preserve">Table 1. Neutral labels in the retained </w:t>
      </w:r>
      <w:proofErr w:type="spellStart"/>
      <w:r>
        <w:rPr>
          <w:b/>
          <w:sz w:val="24"/>
          <w:szCs w:val="24"/>
        </w:rPr>
        <w:t>MESocSentiment</w:t>
      </w:r>
      <w:proofErr w:type="spellEnd"/>
      <w:r>
        <w:rPr>
          <w:b/>
          <w:sz w:val="24"/>
          <w:szCs w:val="24"/>
        </w:rPr>
        <w:t xml:space="preserve"> corpus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45"/>
        <w:gridCol w:w="2652"/>
        <w:gridCol w:w="2654"/>
      </w:tblGrid>
      <w:tr w:rsidR="003054D4" w:rsidRPr="003054D4" w14:paraId="6329C73E" w14:textId="77777777" w:rsidTr="003054D4">
        <w:trPr>
          <w:jc w:val="center"/>
        </w:trPr>
        <w:tc>
          <w:tcPr>
            <w:tcW w:w="1663" w:type="pct"/>
            <w:shd w:val="clear" w:color="auto" w:fill="4BACC6"/>
            <w:vAlign w:val="center"/>
          </w:tcPr>
          <w:p w14:paraId="6788FD97" w14:textId="73ED6BC8" w:rsidR="003054D4" w:rsidRPr="003054D4" w:rsidRDefault="003054D4" w:rsidP="001D5261">
            <w:pPr>
              <w:tabs>
                <w:tab w:val="left" w:pos="24"/>
              </w:tabs>
              <w:spacing w:line="360" w:lineRule="auto"/>
              <w:rPr>
                <w:b/>
                <w:color w:val="FFFFFF"/>
                <w:sz w:val="24"/>
                <w:szCs w:val="24"/>
              </w:rPr>
            </w:pPr>
            <w:proofErr w:type="spellStart"/>
            <w:r>
              <w:rPr>
                <w:b/>
                <w:color w:val="000000"/>
                <w:sz w:val="24"/>
                <w:szCs w:val="24"/>
              </w:rPr>
              <w:t>Analyser</w:t>
            </w:r>
            <w:proofErr w:type="spellEnd"/>
          </w:p>
        </w:tc>
        <w:tc>
          <w:tcPr>
            <w:tcW w:w="1668" w:type="pct"/>
            <w:shd w:val="clear" w:color="auto" w:fill="4BACC6"/>
            <w:vAlign w:val="center"/>
          </w:tcPr>
          <w:p w14:paraId="0D75699E" w14:textId="764CDEE6" w:rsidR="003054D4" w:rsidRPr="003054D4" w:rsidRDefault="003054D4" w:rsidP="001D5261">
            <w:pPr>
              <w:tabs>
                <w:tab w:val="left" w:pos="24"/>
              </w:tabs>
              <w:spacing w:line="360" w:lineRule="auto"/>
              <w:rPr>
                <w:b/>
                <w:color w:val="FFFFFF"/>
                <w:sz w:val="24"/>
                <w:szCs w:val="24"/>
              </w:rPr>
            </w:pPr>
            <w:r>
              <w:rPr>
                <w:b/>
                <w:color w:val="000000"/>
                <w:sz w:val="24"/>
                <w:szCs w:val="24"/>
              </w:rPr>
              <w:t>Neutral posts</w:t>
            </w:r>
          </w:p>
        </w:tc>
        <w:tc>
          <w:tcPr>
            <w:tcW w:w="1669" w:type="pct"/>
            <w:shd w:val="clear" w:color="auto" w:fill="4BACC6"/>
            <w:vAlign w:val="center"/>
          </w:tcPr>
          <w:p w14:paraId="6C618B1E" w14:textId="7E101882" w:rsidR="003054D4" w:rsidRPr="003054D4" w:rsidRDefault="003054D4" w:rsidP="001D5261">
            <w:pPr>
              <w:tabs>
                <w:tab w:val="left" w:pos="24"/>
              </w:tabs>
              <w:spacing w:line="360" w:lineRule="auto"/>
              <w:rPr>
                <w:b/>
                <w:color w:val="FFFFFF"/>
                <w:sz w:val="24"/>
                <w:szCs w:val="24"/>
              </w:rPr>
            </w:pPr>
            <w:r>
              <w:rPr>
                <w:b/>
                <w:color w:val="000000"/>
                <w:sz w:val="24"/>
                <w:szCs w:val="24"/>
              </w:rPr>
              <w:t>Share</w:t>
            </w:r>
          </w:p>
        </w:tc>
      </w:tr>
      <w:tr w:rsidR="003054D4" w:rsidRPr="003054D4" w14:paraId="53085C7C" w14:textId="77777777" w:rsidTr="003054D4">
        <w:trPr>
          <w:jc w:val="center"/>
        </w:trPr>
        <w:tc>
          <w:tcPr>
            <w:tcW w:w="1663" w:type="pct"/>
            <w:shd w:val="clear" w:color="auto" w:fill="4BACC6"/>
            <w:vAlign w:val="center"/>
          </w:tcPr>
          <w:p w14:paraId="54CD7E46" w14:textId="7DA981DB" w:rsidR="003054D4" w:rsidRPr="003054D4" w:rsidRDefault="003054D4" w:rsidP="001D5261">
            <w:pPr>
              <w:tabs>
                <w:tab w:val="left" w:pos="24"/>
              </w:tabs>
              <w:spacing w:line="360" w:lineRule="auto"/>
              <w:rPr>
                <w:b/>
                <w:color w:val="FFFFFF"/>
                <w:sz w:val="24"/>
                <w:szCs w:val="24"/>
              </w:rPr>
            </w:pPr>
            <w:proofErr w:type="spellStart"/>
            <w:r>
              <w:rPr>
                <w:color w:val="000000"/>
                <w:sz w:val="24"/>
                <w:szCs w:val="24"/>
              </w:rPr>
              <w:t>TextBlob</w:t>
            </w:r>
            <w:proofErr w:type="spellEnd"/>
          </w:p>
        </w:tc>
        <w:tc>
          <w:tcPr>
            <w:tcW w:w="1668" w:type="pct"/>
            <w:shd w:val="clear" w:color="auto" w:fill="D8D8D8"/>
            <w:vAlign w:val="center"/>
          </w:tcPr>
          <w:p w14:paraId="6A721AB8" w14:textId="6AE79728" w:rsidR="003054D4" w:rsidRPr="003054D4" w:rsidRDefault="003054D4" w:rsidP="001D5261">
            <w:pPr>
              <w:tabs>
                <w:tab w:val="left" w:pos="24"/>
              </w:tabs>
              <w:spacing w:line="360" w:lineRule="auto"/>
              <w:rPr>
                <w:sz w:val="24"/>
                <w:szCs w:val="24"/>
              </w:rPr>
            </w:pPr>
            <w:r>
              <w:rPr>
                <w:color w:val="000000"/>
                <w:sz w:val="24"/>
                <w:szCs w:val="24"/>
              </w:rPr>
              <w:t>14,305</w:t>
            </w:r>
          </w:p>
        </w:tc>
        <w:tc>
          <w:tcPr>
            <w:tcW w:w="1669" w:type="pct"/>
            <w:shd w:val="clear" w:color="auto" w:fill="D8D8D8"/>
            <w:vAlign w:val="center"/>
          </w:tcPr>
          <w:p w14:paraId="3677F623" w14:textId="519EC940" w:rsidR="003054D4" w:rsidRPr="003054D4" w:rsidRDefault="003054D4" w:rsidP="001D5261">
            <w:pPr>
              <w:tabs>
                <w:tab w:val="left" w:pos="24"/>
              </w:tabs>
              <w:spacing w:line="360" w:lineRule="auto"/>
              <w:rPr>
                <w:sz w:val="24"/>
                <w:szCs w:val="24"/>
              </w:rPr>
            </w:pPr>
            <w:r>
              <w:rPr>
                <w:color w:val="000000"/>
                <w:sz w:val="24"/>
                <w:szCs w:val="24"/>
              </w:rPr>
              <w:t>72.56%</w:t>
            </w:r>
          </w:p>
        </w:tc>
      </w:tr>
      <w:tr w:rsidR="003054D4" w:rsidRPr="003054D4" w14:paraId="5D3A1836" w14:textId="77777777" w:rsidTr="003054D4">
        <w:trPr>
          <w:jc w:val="center"/>
        </w:trPr>
        <w:tc>
          <w:tcPr>
            <w:tcW w:w="1663" w:type="pct"/>
            <w:shd w:val="clear" w:color="auto" w:fill="4BACC6"/>
            <w:vAlign w:val="center"/>
          </w:tcPr>
          <w:p w14:paraId="02D0D725" w14:textId="539B6F7F" w:rsidR="003054D4" w:rsidRPr="003054D4" w:rsidRDefault="003054D4" w:rsidP="001D5261">
            <w:pPr>
              <w:tabs>
                <w:tab w:val="left" w:pos="24"/>
              </w:tabs>
              <w:spacing w:line="360" w:lineRule="auto"/>
              <w:rPr>
                <w:b/>
                <w:color w:val="FFFFFF"/>
                <w:sz w:val="24"/>
                <w:szCs w:val="24"/>
              </w:rPr>
            </w:pPr>
            <w:r>
              <w:rPr>
                <w:color w:val="000000"/>
                <w:sz w:val="24"/>
                <w:szCs w:val="24"/>
              </w:rPr>
              <w:t>VADER</w:t>
            </w:r>
          </w:p>
        </w:tc>
        <w:tc>
          <w:tcPr>
            <w:tcW w:w="1668" w:type="pct"/>
            <w:vAlign w:val="center"/>
          </w:tcPr>
          <w:p w14:paraId="20DA4E9B" w14:textId="0D112D69" w:rsidR="003054D4" w:rsidRPr="003054D4" w:rsidRDefault="003054D4" w:rsidP="001D5261">
            <w:pPr>
              <w:tabs>
                <w:tab w:val="left" w:pos="24"/>
              </w:tabs>
              <w:spacing w:line="360" w:lineRule="auto"/>
              <w:rPr>
                <w:sz w:val="24"/>
                <w:szCs w:val="24"/>
              </w:rPr>
            </w:pPr>
            <w:r>
              <w:rPr>
                <w:color w:val="000000"/>
                <w:sz w:val="24"/>
                <w:szCs w:val="24"/>
              </w:rPr>
              <w:t>13,115</w:t>
            </w:r>
          </w:p>
        </w:tc>
        <w:tc>
          <w:tcPr>
            <w:tcW w:w="1669" w:type="pct"/>
            <w:vAlign w:val="center"/>
          </w:tcPr>
          <w:p w14:paraId="72065192" w14:textId="6707D98D" w:rsidR="003054D4" w:rsidRPr="003054D4" w:rsidRDefault="003054D4" w:rsidP="001D5261">
            <w:pPr>
              <w:tabs>
                <w:tab w:val="left" w:pos="24"/>
              </w:tabs>
              <w:spacing w:line="360" w:lineRule="auto"/>
              <w:rPr>
                <w:sz w:val="24"/>
                <w:szCs w:val="24"/>
              </w:rPr>
            </w:pPr>
            <w:r>
              <w:rPr>
                <w:color w:val="000000"/>
                <w:sz w:val="24"/>
                <w:szCs w:val="24"/>
              </w:rPr>
              <w:t>66.53%</w:t>
            </w:r>
          </w:p>
        </w:tc>
      </w:tr>
      <w:tr w:rsidR="003054D4" w:rsidRPr="003054D4" w14:paraId="5856BE4E" w14:textId="77777777" w:rsidTr="003054D4">
        <w:trPr>
          <w:jc w:val="center"/>
        </w:trPr>
        <w:tc>
          <w:tcPr>
            <w:tcW w:w="1663" w:type="pct"/>
            <w:shd w:val="clear" w:color="auto" w:fill="4BACC6"/>
            <w:vAlign w:val="center"/>
          </w:tcPr>
          <w:p w14:paraId="18BFC8B4" w14:textId="3331F035" w:rsidR="003054D4" w:rsidRPr="003054D4" w:rsidRDefault="003054D4" w:rsidP="001D5261">
            <w:pPr>
              <w:tabs>
                <w:tab w:val="left" w:pos="24"/>
              </w:tabs>
              <w:spacing w:line="360" w:lineRule="auto"/>
              <w:rPr>
                <w:b/>
                <w:color w:val="FFFFFF"/>
                <w:sz w:val="24"/>
                <w:szCs w:val="24"/>
              </w:rPr>
            </w:pPr>
            <w:proofErr w:type="spellStart"/>
            <w:r>
              <w:rPr>
                <w:color w:val="000000"/>
                <w:sz w:val="24"/>
                <w:szCs w:val="24"/>
              </w:rPr>
              <w:t>pysentimiento</w:t>
            </w:r>
            <w:proofErr w:type="spellEnd"/>
          </w:p>
        </w:tc>
        <w:tc>
          <w:tcPr>
            <w:tcW w:w="1668" w:type="pct"/>
            <w:shd w:val="clear" w:color="auto" w:fill="D8D8D8"/>
            <w:vAlign w:val="center"/>
          </w:tcPr>
          <w:p w14:paraId="10836940" w14:textId="1DD8F002" w:rsidR="003054D4" w:rsidRPr="003054D4" w:rsidRDefault="003054D4" w:rsidP="001D5261">
            <w:pPr>
              <w:tabs>
                <w:tab w:val="left" w:pos="24"/>
              </w:tabs>
              <w:spacing w:line="360" w:lineRule="auto"/>
              <w:rPr>
                <w:sz w:val="24"/>
                <w:szCs w:val="24"/>
              </w:rPr>
            </w:pPr>
            <w:r>
              <w:rPr>
                <w:color w:val="000000"/>
                <w:sz w:val="24"/>
                <w:szCs w:val="24"/>
              </w:rPr>
              <w:t>16,916</w:t>
            </w:r>
          </w:p>
        </w:tc>
        <w:tc>
          <w:tcPr>
            <w:tcW w:w="1669" w:type="pct"/>
            <w:shd w:val="clear" w:color="auto" w:fill="D8D8D8"/>
            <w:vAlign w:val="center"/>
          </w:tcPr>
          <w:p w14:paraId="1C697725" w14:textId="267C2C88" w:rsidR="003054D4" w:rsidRPr="003054D4" w:rsidRDefault="003054D4" w:rsidP="001D5261">
            <w:pPr>
              <w:tabs>
                <w:tab w:val="left" w:pos="24"/>
              </w:tabs>
              <w:spacing w:line="360" w:lineRule="auto"/>
              <w:rPr>
                <w:sz w:val="24"/>
                <w:szCs w:val="24"/>
              </w:rPr>
            </w:pPr>
            <w:r>
              <w:rPr>
                <w:color w:val="000000"/>
                <w:sz w:val="24"/>
                <w:szCs w:val="24"/>
              </w:rPr>
              <w:t>85.81%</w:t>
            </w:r>
          </w:p>
        </w:tc>
      </w:tr>
      <w:tr w:rsidR="003054D4" w:rsidRPr="003054D4" w14:paraId="79BD9651" w14:textId="77777777" w:rsidTr="001D5261">
        <w:trPr>
          <w:jc w:val="center"/>
        </w:trPr>
        <w:tc>
          <w:tcPr>
            <w:tcW w:w="1663" w:type="pct"/>
            <w:shd w:val="clear" w:color="auto" w:fill="4BACC6"/>
            <w:vAlign w:val="center"/>
          </w:tcPr>
          <w:p w14:paraId="412935C1" w14:textId="793CA00D" w:rsidR="003054D4" w:rsidRPr="003054D4" w:rsidRDefault="003054D4" w:rsidP="001D5261">
            <w:pPr>
              <w:tabs>
                <w:tab w:val="left" w:pos="24"/>
              </w:tabs>
              <w:spacing w:line="360" w:lineRule="auto"/>
              <w:rPr>
                <w:color w:val="000000"/>
                <w:sz w:val="24"/>
                <w:szCs w:val="24"/>
              </w:rPr>
            </w:pPr>
            <w:r>
              <w:rPr>
                <w:color w:val="000000"/>
                <w:sz w:val="24"/>
                <w:szCs w:val="24"/>
              </w:rPr>
              <w:t>Majority vote</w:t>
            </w:r>
          </w:p>
        </w:tc>
        <w:tc>
          <w:tcPr>
            <w:tcW w:w="1668" w:type="pct"/>
            <w:shd w:val="clear" w:color="auto" w:fill="FFFFFF" w:themeFill="background1"/>
            <w:vAlign w:val="center"/>
          </w:tcPr>
          <w:p w14:paraId="65001470" w14:textId="25D51207" w:rsidR="003054D4" w:rsidRPr="003054D4" w:rsidRDefault="003054D4" w:rsidP="001D5261">
            <w:pPr>
              <w:tabs>
                <w:tab w:val="left" w:pos="24"/>
              </w:tabs>
              <w:spacing w:line="360" w:lineRule="auto"/>
              <w:rPr>
                <w:color w:val="000000"/>
                <w:sz w:val="24"/>
                <w:szCs w:val="24"/>
              </w:rPr>
            </w:pPr>
            <w:r>
              <w:rPr>
                <w:color w:val="000000"/>
                <w:sz w:val="24"/>
                <w:szCs w:val="24"/>
              </w:rPr>
              <w:t>15,422</w:t>
            </w:r>
          </w:p>
        </w:tc>
        <w:tc>
          <w:tcPr>
            <w:tcW w:w="1669" w:type="pct"/>
            <w:shd w:val="clear" w:color="auto" w:fill="FFFFFF" w:themeFill="background1"/>
            <w:vAlign w:val="center"/>
          </w:tcPr>
          <w:p w14:paraId="4F1CF909" w14:textId="7A216165" w:rsidR="003054D4" w:rsidRPr="003054D4" w:rsidRDefault="003054D4" w:rsidP="001D5261">
            <w:pPr>
              <w:tabs>
                <w:tab w:val="left" w:pos="24"/>
              </w:tabs>
              <w:spacing w:line="360" w:lineRule="auto"/>
              <w:rPr>
                <w:color w:val="000000"/>
                <w:sz w:val="24"/>
                <w:szCs w:val="24"/>
              </w:rPr>
            </w:pPr>
            <w:r>
              <w:rPr>
                <w:color w:val="000000"/>
                <w:sz w:val="24"/>
                <w:szCs w:val="24"/>
              </w:rPr>
              <w:t>78.23%</w:t>
            </w:r>
          </w:p>
        </w:tc>
      </w:tr>
    </w:tbl>
    <w:p w14:paraId="34C74892" w14:textId="6D14B0C7" w:rsidR="003054D4" w:rsidRPr="003054D4" w:rsidRDefault="003054D4" w:rsidP="004E55A3">
      <w:pPr>
        <w:spacing w:after="120"/>
        <w:jc w:val="both"/>
        <w:rPr>
          <w:color w:val="000000"/>
          <w:sz w:val="24"/>
        </w:rPr>
      </w:pPr>
      <w:r>
        <w:rPr>
          <w:color w:val="000000"/>
          <w:sz w:val="24"/>
        </w:rPr>
        <w:t>Source: Mohd Shamsuddin et al. (2024). All shares use the 19,714 retained posts as the denominator.</w:t>
      </w:r>
    </w:p>
    <w:p w14:paraId="3BEF77E6" w14:textId="77777777" w:rsidR="00CC1986" w:rsidRDefault="00000000" w:rsidP="004E55A3">
      <w:pPr>
        <w:spacing w:after="120"/>
        <w:ind w:firstLine="216"/>
        <w:jc w:val="both"/>
      </w:pPr>
      <w:proofErr w:type="spellStart"/>
      <w:proofErr w:type="spellEnd"/>
      <w:r>
        <w:rPr>
          <w:i w:val="0"/>
        </w:rPr>
        <w:t>Mohd Shamsuddin et al. (2024) removed 512 of 20,226 posts because the three analysers all assigned different labels. The neutral count stayed at 15,422 while the total fell to 19,714, raising the neutral share by about two percentage points. Removing disputed posts may also remove difficult cases, but the published counts do not show what those cases contain. Keeping their text and individual labels would allow direct analysis of disagreement (Uma et al., 2021).</w:t>
      </w:r>
    </w:p>
    <w:p w14:paraId="6CD782E0" w14:textId="7F86F985" w:rsidR="00CC1986" w:rsidRDefault="005055C8" w:rsidP="004E55A3">
      <w:pPr>
        <w:pStyle w:val="Heading1"/>
        <w:spacing w:before="240" w:after="120"/>
        <w:jc w:val="both"/>
      </w:pPr>
      <w:r>
        <w:rPr>
          <w:color w:val="000000"/>
          <w:sz w:val="26"/>
        </w:rPr>
        <w:lastRenderedPageBreak/>
        <w:t>5. Evaluating Annotation Reliability</w:t>
      </w:r>
    </w:p>
    <w:p w14:paraId="22C4C0CA" w14:textId="77777777" w:rsidR="00CC1986" w:rsidRDefault="00000000" w:rsidP="004E55A3">
      <w:pPr>
        <w:spacing w:after="120"/>
        <w:ind w:firstLine="216"/>
        <w:jc w:val="both"/>
      </w:pPr>
      <w:proofErr w:type="spellStart"/>
      <w:proofErr w:type="spellEnd"/>
      <w:proofErr w:type="spellStart"/>
      <w:proofErr w:type="spellEnd"/>
      <w:r>
        <w:rPr>
          <w:i w:val="0"/>
        </w:rPr>
        <w:t>Agreement measures consistency, but consistent labels are not always correct. Two annotators can make the same mistake and still agree. Cohen's κ compares observed agreement between two annotators with agreement expected from their label distributions (Cohen, 1960). In computational linguistics, values above 0.8 are often treated as good reliability, while 0.67 to 0.8 may support tentative conclusions (Artstein and Poesio, 2008). These ranges are only guides; κ must be interpreted in relation to the task, annotators and label distributions.</w:t>
      </w:r>
    </w:p>
    <w:p w14:paraId="7124D122" w14:textId="77777777" w:rsidR="00CC1986" w:rsidRDefault="00000000" w:rsidP="004E55A3">
      <w:pPr>
        <w:spacing w:after="120"/>
        <w:ind w:firstLine="216"/>
        <w:jc w:val="both"/>
      </w:pPr>
      <w:r>
        <w:rPr>
          <w:i w:val="0"/>
        </w:rPr>
        <w:t>Class imbalance is one reason κ can be misleading in isolation. Di Eugenio and Glass (2004) present two binary examples with the same 90% observed agreement, yet κ ranges from -0.048 to 0.80 because the category distributions differ. A single threshold therefore cannot be applied to every agreement result.</w:t>
      </w:r>
    </w:p>
    <w:p w14:paraId="6B193954" w14:textId="41B93FBB" w:rsidR="00D540FD" w:rsidRDefault="00000000" w:rsidP="00D540FD">
      <w:pPr>
        <w:spacing w:after="120"/>
        <w:ind w:firstLine="216"/>
        <w:jc w:val="both"/>
      </w:pPr>
      <w:r>
        <w:rPr>
          <w:i w:val="0"/>
        </w:rPr>
        <w:t>For a neutral-heavy dataset, researchers should examine both overall agreement and agreement by class. The final class distribution can signal a prevalence problem, but κ depends on the individual annotators' distributions. Reliability can still be assessed, but an aggregate coefficient or class count is not enough on its own.</w:t>
      </w:r>
    </w:p>
    <w:p w14:paraId="678089B4" w14:textId="77777777" w:rsidR="00D540FD" w:rsidRPr="00D540FD" w:rsidRDefault="00D540FD" w:rsidP="00D540FD">
      <w:pPr>
        <w:spacing w:after="120"/>
        <w:ind w:firstLine="216"/>
        <w:jc w:val="both"/>
      </w:pPr>
    </w:p>
    <w:p w14:paraId="27E8AB78" w14:textId="6D80390A" w:rsidR="00EA4E1F" w:rsidRPr="00EA4E1F" w:rsidRDefault="00000000" w:rsidP="00EA4E1F">
      <w:pPr>
        <w:keepNext/>
        <w:pageBreakBefore/>
        <w:spacing w:after="120"/>
        <w:jc w:val="center"/>
      </w:pPr>
      <w:r>
        <w:rPr>
          <w:b/>
          <w:color w:val="000000"/>
        </w:rPr>
        <w:t>Table 2. Reliability evidence reported for the reviewed 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04"/>
        <w:gridCol w:w="2473"/>
        <w:gridCol w:w="3274"/>
      </w:tblGrid>
      <w:tr w:rsidR="00EA4E1F" w:rsidRPr="003054D4" w14:paraId="2C7645A8" w14:textId="77777777" w:rsidTr="00EA4E1F">
        <w:trPr>
          <w:jc w:val="center"/>
        </w:trPr>
        <w:tc>
          <w:tcPr>
            <w:tcW w:w="1386" w:type="pct"/>
            <w:shd w:val="clear" w:color="auto" w:fill="4BACC6"/>
            <w:vAlign w:val="center"/>
          </w:tcPr>
          <w:p w14:paraId="3355F50A" w14:textId="2355621D" w:rsidR="00EA4E1F" w:rsidRPr="00EA4E1F" w:rsidRDefault="00EA4E1F" w:rsidP="00EA4E1F">
            <w:pPr>
              <w:tabs>
                <w:tab w:val="left" w:pos="24"/>
              </w:tabs>
              <w:rPr>
                <w:b/>
                <w:color w:val="FFFFFF"/>
                <w:sz w:val="24"/>
                <w:szCs w:val="24"/>
              </w:rPr>
            </w:pPr>
            <w:r>
              <w:rPr>
                <w:b/>
                <w:color w:val="000000"/>
                <w:sz w:val="24"/>
                <w:szCs w:val="24"/>
              </w:rPr>
              <w:t>Resource</w:t>
            </w:r>
          </w:p>
        </w:tc>
        <w:tc>
          <w:tcPr>
            <w:tcW w:w="1555" w:type="pct"/>
            <w:shd w:val="clear" w:color="auto" w:fill="4BACC6"/>
            <w:vAlign w:val="center"/>
          </w:tcPr>
          <w:p w14:paraId="03A655D5" w14:textId="5E678761" w:rsidR="00EA4E1F" w:rsidRPr="00EA4E1F" w:rsidRDefault="00EA4E1F" w:rsidP="00EA4E1F">
            <w:pPr>
              <w:tabs>
                <w:tab w:val="left" w:pos="24"/>
              </w:tabs>
              <w:rPr>
                <w:b/>
                <w:color w:val="FFFFFF"/>
                <w:sz w:val="24"/>
                <w:szCs w:val="24"/>
              </w:rPr>
            </w:pPr>
            <w:r>
              <w:rPr>
                <w:b/>
                <w:color w:val="000000"/>
                <w:sz w:val="24"/>
                <w:szCs w:val="24"/>
              </w:rPr>
              <w:t>Annotation evidence</w:t>
            </w:r>
          </w:p>
        </w:tc>
        <w:tc>
          <w:tcPr>
            <w:tcW w:w="2059" w:type="pct"/>
            <w:shd w:val="clear" w:color="auto" w:fill="4BACC6"/>
            <w:vAlign w:val="center"/>
          </w:tcPr>
          <w:p w14:paraId="1F376DA6" w14:textId="4EBC6380" w:rsidR="00EA4E1F" w:rsidRPr="00EA4E1F" w:rsidRDefault="00EA4E1F" w:rsidP="00EA4E1F">
            <w:pPr>
              <w:tabs>
                <w:tab w:val="left" w:pos="24"/>
              </w:tabs>
              <w:rPr>
                <w:b/>
                <w:color w:val="FFFFFF"/>
                <w:sz w:val="24"/>
                <w:szCs w:val="24"/>
              </w:rPr>
            </w:pPr>
            <w:r>
              <w:rPr>
                <w:b/>
                <w:color w:val="000000"/>
                <w:sz w:val="24"/>
                <w:szCs w:val="24"/>
              </w:rPr>
              <w:t>Scope and limitation</w:t>
            </w:r>
          </w:p>
        </w:tc>
      </w:tr>
      <w:tr w:rsidR="00EA4E1F" w:rsidRPr="003054D4" w14:paraId="4E6AA47C" w14:textId="77777777" w:rsidTr="00EA4E1F">
        <w:trPr>
          <w:jc w:val="center"/>
        </w:trPr>
        <w:tc>
          <w:tcPr>
            <w:tcW w:w="1386" w:type="pct"/>
            <w:shd w:val="clear" w:color="auto" w:fill="4BACC6"/>
            <w:vAlign w:val="center"/>
          </w:tcPr>
          <w:p w14:paraId="505B1B64" w14:textId="7E1DD98C" w:rsidR="00EA4E1F" w:rsidRPr="00EA4E1F" w:rsidRDefault="00EA4E1F" w:rsidP="00EA4E1F">
            <w:pPr>
              <w:tabs>
                <w:tab w:val="left" w:pos="24"/>
              </w:tabs>
              <w:rPr>
                <w:b/>
                <w:color w:val="FFFFFF"/>
                <w:sz w:val="24"/>
                <w:szCs w:val="24"/>
              </w:rPr>
            </w:pPr>
            <w:r>
              <w:rPr>
                <w:color w:val="000000"/>
                <w:sz w:val="24"/>
                <w:szCs w:val="24"/>
              </w:rPr>
              <w:t>MY-EN-CS</w:t>
            </w:r>
            <w:r>
              <w:rPr>
                <w:color w:val="000000"/>
                <w:sz w:val="24"/>
                <w:szCs w:val="24"/>
              </w:rPr>
              <w:br/>
            </w:r>
            <w:proofErr w:type="spellStart"/>
            <w:r>
              <w:rPr>
                <w:color w:val="000000"/>
                <w:sz w:val="24"/>
                <w:szCs w:val="24"/>
              </w:rPr>
              <w:t>Kasmuri</w:t>
            </w:r>
            <w:proofErr w:type="spellEnd"/>
            <w:r>
              <w:rPr>
                <w:color w:val="000000"/>
                <w:sz w:val="24"/>
                <w:szCs w:val="24"/>
              </w:rPr>
              <w:t xml:space="preserve"> and </w:t>
            </w:r>
            <w:proofErr w:type="spellStart"/>
            <w:r>
              <w:rPr>
                <w:color w:val="000000"/>
                <w:sz w:val="24"/>
                <w:szCs w:val="24"/>
              </w:rPr>
              <w:t>Basiron</w:t>
            </w:r>
            <w:proofErr w:type="spellEnd"/>
            <w:r>
              <w:rPr>
                <w:color w:val="000000"/>
                <w:sz w:val="24"/>
                <w:szCs w:val="24"/>
              </w:rPr>
              <w:t xml:space="preserve"> (2019)</w:t>
            </w:r>
          </w:p>
        </w:tc>
        <w:tc>
          <w:tcPr>
            <w:tcW w:w="1555" w:type="pct"/>
            <w:shd w:val="clear" w:color="auto" w:fill="D8D8D8"/>
            <w:vAlign w:val="center"/>
          </w:tcPr>
          <w:p w14:paraId="5236B19B" w14:textId="745129F5" w:rsidR="00EA4E1F" w:rsidRPr="00EA4E1F" w:rsidRDefault="00EA4E1F" w:rsidP="00EA4E1F">
            <w:pPr>
              <w:tabs>
                <w:tab w:val="left" w:pos="24"/>
              </w:tabs>
              <w:rPr>
                <w:sz w:val="24"/>
                <w:szCs w:val="24"/>
              </w:rPr>
            </w:pPr>
            <w:r>
              <w:rPr>
                <w:color w:val="000000"/>
                <w:sz w:val="24"/>
                <w:szCs w:val="24"/>
              </w:rPr>
              <w:t>Two bilingual undergraduates; written guideline; κ = 0.83.</w:t>
            </w:r>
          </w:p>
        </w:tc>
        <w:tc>
          <w:tcPr>
            <w:tcW w:w="2059" w:type="pct"/>
            <w:shd w:val="clear" w:color="auto" w:fill="D8D8D8"/>
            <w:vAlign w:val="center"/>
          </w:tcPr>
          <w:p w14:paraId="17485ED4" w14:textId="31D3DFDE" w:rsidR="00EA4E1F" w:rsidRPr="00EA4E1F" w:rsidRDefault="00EA4E1F" w:rsidP="00EA4E1F">
            <w:pPr>
              <w:tabs>
                <w:tab w:val="left" w:pos="24"/>
              </w:tabs>
              <w:rPr>
                <w:sz w:val="24"/>
                <w:szCs w:val="24"/>
              </w:rPr>
            </w:pPr>
            <w:r>
              <w:rPr>
                <w:color w:val="000000"/>
                <w:sz w:val="24"/>
                <w:szCs w:val="24"/>
              </w:rPr>
              <w:t>Opinionated versus factual judgement. Does not establish three-class polarity agreement.</w:t>
            </w:r>
          </w:p>
        </w:tc>
      </w:tr>
      <w:tr w:rsidR="00D540FD" w:rsidRPr="003054D4" w14:paraId="729F076E" w14:textId="77777777" w:rsidTr="00D540FD">
        <w:trPr>
          <w:jc w:val="center"/>
        </w:trPr>
        <w:tc>
          <w:tcPr>
            <w:tcW w:w="1386" w:type="pct"/>
            <w:shd w:val="clear" w:color="auto" w:fill="4BACC6"/>
            <w:vAlign w:val="center"/>
          </w:tcPr>
          <w:p w14:paraId="7D0FB7CF" w14:textId="6C4B4726" w:rsidR="00D540FD" w:rsidRDefault="00D540FD" w:rsidP="00D540FD">
            <w:pPr>
              <w:tabs>
                <w:tab w:val="left" w:pos="24"/>
              </w:tabs>
              <w:rPr>
                <w:color w:val="000000"/>
                <w:sz w:val="24"/>
                <w:szCs w:val="24"/>
              </w:rPr>
            </w:pPr>
            <w:proofErr w:type="spellStart"/>
            <w:r>
              <w:rPr>
                <w:color w:val="000000"/>
                <w:sz w:val="24"/>
                <w:szCs w:val="24"/>
              </w:rPr>
              <w:t>SentiBahasaRojak</w:t>
            </w:r>
            <w:proofErr w:type="spellEnd"/>
            <w:r>
              <w:rPr>
                <w:color w:val="000000"/>
                <w:sz w:val="24"/>
                <w:szCs w:val="24"/>
              </w:rPr>
              <w:br/>
            </w:r>
            <w:proofErr w:type="spellStart"/>
            <w:r>
              <w:rPr>
                <w:color w:val="000000"/>
                <w:sz w:val="24"/>
                <w:szCs w:val="24"/>
              </w:rPr>
              <w:t>Romadhona</w:t>
            </w:r>
            <w:proofErr w:type="spellEnd"/>
            <w:r>
              <w:rPr>
                <w:color w:val="000000"/>
                <w:sz w:val="24"/>
                <w:szCs w:val="24"/>
              </w:rPr>
              <w:t xml:space="preserve"> et al. (2022)</w:t>
            </w:r>
          </w:p>
        </w:tc>
        <w:tc>
          <w:tcPr>
            <w:tcW w:w="1555" w:type="pct"/>
            <w:vAlign w:val="center"/>
          </w:tcPr>
          <w:p w14:paraId="5F0B86B2" w14:textId="1EF5809B" w:rsidR="00D540FD" w:rsidRDefault="00D540FD" w:rsidP="00D540FD">
            <w:pPr>
              <w:tabs>
                <w:tab w:val="left" w:pos="24"/>
              </w:tabs>
              <w:rPr>
                <w:color w:val="000000"/>
                <w:sz w:val="24"/>
                <w:szCs w:val="24"/>
              </w:rPr>
            </w:pPr>
            <w:r>
              <w:rPr>
                <w:color w:val="000000"/>
                <w:sz w:val="24"/>
                <w:szCs w:val="24"/>
              </w:rPr>
              <w:t>Five experts labelled stock posts; reported kappa = 0.77.</w:t>
            </w:r>
          </w:p>
        </w:tc>
        <w:tc>
          <w:tcPr>
            <w:tcW w:w="2059" w:type="pct"/>
            <w:vAlign w:val="center"/>
          </w:tcPr>
          <w:p w14:paraId="583B364D" w14:textId="4B538144" w:rsidR="00D540FD" w:rsidRDefault="00D540FD" w:rsidP="00D540FD">
            <w:pPr>
              <w:tabs>
                <w:tab w:val="left" w:pos="24"/>
              </w:tabs>
              <w:rPr>
                <w:color w:val="000000"/>
                <w:sz w:val="24"/>
                <w:szCs w:val="24"/>
              </w:rPr>
            </w:pPr>
            <w:r>
              <w:rPr>
                <w:color w:val="000000"/>
                <w:sz w:val="24"/>
                <w:szCs w:val="24"/>
              </w:rPr>
              <w:t>Positive versus negative stock labels; coefficient variant unspecified. Other subsets were generated automatically.</w:t>
            </w:r>
          </w:p>
        </w:tc>
      </w:tr>
      <w:tr w:rsidR="00D540FD" w:rsidRPr="003054D4" w14:paraId="7C2A92F4" w14:textId="77777777" w:rsidTr="00D540FD">
        <w:trPr>
          <w:jc w:val="center"/>
        </w:trPr>
        <w:tc>
          <w:tcPr>
            <w:tcW w:w="1386" w:type="pct"/>
            <w:shd w:val="clear" w:color="auto" w:fill="4BACC6"/>
            <w:vAlign w:val="center"/>
          </w:tcPr>
          <w:p w14:paraId="6C350F19" w14:textId="3FAAA613" w:rsidR="00D540FD" w:rsidRPr="00EA4E1F" w:rsidRDefault="00D540FD" w:rsidP="00D540FD">
            <w:pPr>
              <w:tabs>
                <w:tab w:val="left" w:pos="24"/>
              </w:tabs>
              <w:rPr>
                <w:b/>
                <w:color w:val="FFFFFF"/>
                <w:sz w:val="24"/>
                <w:szCs w:val="24"/>
              </w:rPr>
            </w:pPr>
            <w:proofErr w:type="spellStart"/>
            <w:r>
              <w:rPr>
                <w:color w:val="000000"/>
                <w:sz w:val="24"/>
                <w:szCs w:val="24"/>
              </w:rPr>
              <w:t>MyCovid</w:t>
            </w:r>
            <w:proofErr w:type="spellEnd"/>
            <w:r>
              <w:rPr>
                <w:color w:val="000000"/>
                <w:sz w:val="24"/>
                <w:szCs w:val="24"/>
              </w:rPr>
              <w:t>-Senti</w:t>
            </w:r>
            <w:r>
              <w:rPr>
                <w:color w:val="000000"/>
                <w:sz w:val="24"/>
                <w:szCs w:val="24"/>
              </w:rPr>
              <w:br/>
              <w:t>Kong et al. (2023)</w:t>
            </w:r>
          </w:p>
        </w:tc>
        <w:tc>
          <w:tcPr>
            <w:tcW w:w="1555" w:type="pct"/>
            <w:shd w:val="clear" w:color="auto" w:fill="D8D8D8"/>
            <w:vAlign w:val="center"/>
          </w:tcPr>
          <w:p w14:paraId="4A911B0E" w14:textId="15DC4155" w:rsidR="00D540FD" w:rsidRPr="00EA4E1F" w:rsidRDefault="00D540FD" w:rsidP="00D540FD">
            <w:pPr>
              <w:tabs>
                <w:tab w:val="left" w:pos="24"/>
              </w:tabs>
              <w:rPr>
                <w:sz w:val="24"/>
                <w:szCs w:val="24"/>
              </w:rPr>
            </w:pPr>
            <w:r>
              <w:rPr>
                <w:color w:val="000000"/>
                <w:sz w:val="24"/>
                <w:szCs w:val="24"/>
              </w:rPr>
              <w:t>Three independent annotators; written guideline.</w:t>
            </w:r>
          </w:p>
        </w:tc>
        <w:tc>
          <w:tcPr>
            <w:tcW w:w="2059" w:type="pct"/>
            <w:shd w:val="clear" w:color="auto" w:fill="D8D8D8"/>
            <w:vAlign w:val="center"/>
          </w:tcPr>
          <w:p w14:paraId="3BC7D45C" w14:textId="7DAADBD3" w:rsidR="00D540FD" w:rsidRPr="00EA4E1F" w:rsidRDefault="00D540FD" w:rsidP="00D540FD">
            <w:pPr>
              <w:tabs>
                <w:tab w:val="left" w:pos="24"/>
              </w:tabs>
              <w:rPr>
                <w:sz w:val="24"/>
                <w:szCs w:val="24"/>
              </w:rPr>
            </w:pPr>
            <w:r>
              <w:rPr>
                <w:color w:val="000000"/>
                <w:sz w:val="24"/>
                <w:szCs w:val="24"/>
              </w:rPr>
              <w:t>Three-class sentiment labels; no agreement coefficient reported.</w:t>
            </w:r>
          </w:p>
        </w:tc>
      </w:tr>
      <w:tr w:rsidR="00D540FD" w:rsidRPr="003054D4" w14:paraId="7606FAA7" w14:textId="77777777" w:rsidTr="00D540FD">
        <w:trPr>
          <w:jc w:val="center"/>
        </w:trPr>
        <w:tc>
          <w:tcPr>
            <w:tcW w:w="1386" w:type="pct"/>
            <w:shd w:val="clear" w:color="auto" w:fill="4BACC6"/>
            <w:vAlign w:val="center"/>
          </w:tcPr>
          <w:p w14:paraId="35437E97" w14:textId="3BDCD24A" w:rsidR="00D540FD" w:rsidRPr="00EA4E1F" w:rsidRDefault="00D540FD" w:rsidP="00D540FD">
            <w:pPr>
              <w:tabs>
                <w:tab w:val="left" w:pos="24"/>
              </w:tabs>
              <w:rPr>
                <w:color w:val="000000"/>
                <w:sz w:val="24"/>
                <w:szCs w:val="24"/>
              </w:rPr>
            </w:pPr>
            <w:proofErr w:type="spellStart"/>
            <w:r>
              <w:rPr>
                <w:color w:val="000000"/>
                <w:sz w:val="24"/>
                <w:szCs w:val="24"/>
              </w:rPr>
              <w:t>MESocSentiment</w:t>
            </w:r>
            <w:proofErr w:type="spellEnd"/>
            <w:r>
              <w:rPr>
                <w:color w:val="000000"/>
                <w:sz w:val="24"/>
                <w:szCs w:val="24"/>
              </w:rPr>
              <w:br/>
              <w:t>Mohd Shamsuddin et al. (2024)</w:t>
            </w:r>
          </w:p>
        </w:tc>
        <w:tc>
          <w:tcPr>
            <w:tcW w:w="1555" w:type="pct"/>
            <w:shd w:val="clear" w:color="auto" w:fill="FFFFFF" w:themeFill="background1"/>
            <w:vAlign w:val="center"/>
          </w:tcPr>
          <w:p w14:paraId="795C3B4C" w14:textId="36C2F2EC" w:rsidR="00D540FD" w:rsidRPr="00EA4E1F" w:rsidRDefault="00D540FD" w:rsidP="00D540FD">
            <w:pPr>
              <w:tabs>
                <w:tab w:val="left" w:pos="24"/>
              </w:tabs>
              <w:rPr>
                <w:color w:val="000000"/>
                <w:sz w:val="24"/>
                <w:szCs w:val="24"/>
              </w:rPr>
            </w:pPr>
            <w:r>
              <w:rPr>
                <w:color w:val="000000"/>
                <w:sz w:val="24"/>
                <w:szCs w:val="24"/>
              </w:rPr>
              <w:t xml:space="preserve">Majority vote among three automatic </w:t>
            </w:r>
            <w:proofErr w:type="spellStart"/>
            <w:r>
              <w:rPr>
                <w:color w:val="000000"/>
                <w:sz w:val="24"/>
                <w:szCs w:val="24"/>
              </w:rPr>
              <w:t>analysers</w:t>
            </w:r>
            <w:proofErr w:type="spellEnd"/>
            <w:r>
              <w:rPr>
                <w:color w:val="000000"/>
                <w:sz w:val="24"/>
                <w:szCs w:val="24"/>
              </w:rPr>
              <w:t>.</w:t>
            </w:r>
          </w:p>
        </w:tc>
        <w:tc>
          <w:tcPr>
            <w:tcW w:w="2059" w:type="pct"/>
            <w:shd w:val="clear" w:color="auto" w:fill="FFFFFF" w:themeFill="background1"/>
            <w:vAlign w:val="center"/>
          </w:tcPr>
          <w:p w14:paraId="625BC7A5" w14:textId="1BEA08D4" w:rsidR="00D540FD" w:rsidRPr="00EA4E1F" w:rsidRDefault="00D540FD" w:rsidP="00D540FD">
            <w:pPr>
              <w:tabs>
                <w:tab w:val="left" w:pos="24"/>
              </w:tabs>
              <w:rPr>
                <w:color w:val="000000"/>
                <w:sz w:val="24"/>
                <w:szCs w:val="24"/>
              </w:rPr>
            </w:pPr>
            <w:r>
              <w:rPr>
                <w:color w:val="000000"/>
                <w:sz w:val="24"/>
                <w:szCs w:val="24"/>
              </w:rPr>
              <w:t>No human inter-annotator agreement coefficient reported.</w:t>
            </w:r>
          </w:p>
        </w:tc>
      </w:tr>
    </w:tbl>
    <w:p w14:paraId="6F7AB0F6" w14:textId="2E6D086B" w:rsidR="00CC1986" w:rsidRDefault="00000000" w:rsidP="004E55A3">
      <w:pPr>
        <w:spacing w:after="120"/>
        <w:ind w:firstLine="216"/>
        <w:jc w:val="both"/>
      </w:pPr>
      <w:proofErr w:type="spellStart"/>
      <w:proofErr w:type="spellEnd"/>
      <w:r>
        <w:rPr>
          <w:i w:val="0"/>
        </w:rPr>
        <w:t>Table 2 shows gaps in the available evidence, not that all four resources are unreliable. MyCovid-Senti and MESocSentiment report no agreement coefficient. MY-EN-CS and SentiBahasaRojak report agreement for binary tasks, so the results do not establish reliability for three-class sentiment labels. SentiBahasaRojak also used five experts and majority voting, while Cohen's κ is defined for two annotators (Romadhona et al., 2022). Studies with more than two annotators should therefore name the coefficient used and explain how it was calculated.</w:t>
      </w:r>
    </w:p>
    <w:p w14:paraId="50E3C421" w14:textId="6805CDF4" w:rsidR="00CC1986" w:rsidRDefault="005055C8" w:rsidP="004E55A3">
      <w:pPr>
        <w:pStyle w:val="Heading1"/>
        <w:spacing w:before="240" w:after="120"/>
        <w:jc w:val="both"/>
      </w:pPr>
      <w:r>
        <w:rPr>
          <w:color w:val="000000"/>
          <w:sz w:val="26"/>
        </w:rPr>
        <w:lastRenderedPageBreak/>
        <w:t>6. Research Priorities</w:t>
      </w:r>
    </w:p>
    <w:p w14:paraId="4CE7FC15" w14:textId="3630A2E0" w:rsidR="00CC1986" w:rsidRDefault="00000000" w:rsidP="004E55A3">
      <w:pPr>
        <w:spacing w:after="120"/>
        <w:ind w:firstLine="216"/>
        <w:jc w:val="both"/>
      </w:pPr>
      <w:r>
        <w:rPr>
          <w:i w:val="0"/>
        </w:rPr>
        <w:t>The reviewed studies leave a common gap: label production and label checking are not always reported or evaluated together. Section 6.1 explains how the linguistic, labelling and evaluation problems interact. Four priorities then follow: clearer annotation reporting, agreement analysis under class imbalance, guidance for particles and ambiguity, and tests for shared errors.</w:t>
      </w:r>
    </w:p>
    <w:p w14:paraId="7ABE8027" w14:textId="3DE3073F" w:rsidR="00CC1986" w:rsidRDefault="005055C8" w:rsidP="004E55A3">
      <w:pPr>
        <w:pStyle w:val="Heading2"/>
        <w:spacing w:after="120"/>
        <w:jc w:val="both"/>
      </w:pPr>
      <w:r>
        <w:rPr>
          <w:rFonts w:ascii="Times New Roman" w:hAnsi="Times New Roman"/>
          <w:i w:val="0"/>
          <w:color w:val="000000"/>
        </w:rPr>
        <w:t>6.1 How the challenges interact</w:t>
      </w:r>
    </w:p>
    <w:p w14:paraId="79473FCA" w14:textId="77777777" w:rsidR="00CC1986" w:rsidRDefault="00000000" w:rsidP="004E55A3">
      <w:pPr>
        <w:spacing w:after="120"/>
        <w:ind w:firstLine="216"/>
        <w:jc w:val="both"/>
      </w:pPr>
      <w:proofErr w:type="spellStart"/>
      <w:proofErr w:type="spellEnd"/>
      <w:r>
        <w:rPr>
          <w:i w:val="0"/>
        </w:rPr>
        <w:t>The problems in Sections 3 to 5 form a sequence. Malay-English particles and spelling variation can make sentiment cues difficult to interpret or easy for automatic tools to miss. Bilingual humans can handle more of this context, but manual annotation is costly; Mohd Shamsuddin et al. (2024) cite this cost as a reason for automation. The automatic tools used were designed for other languages (Hutto and Gilbert, 2014). If several tools miss the same Malay cue, majority voting preserves the shared mistake instead of correcting it, which can increase the neutral class.</w:t>
      </w:r>
    </w:p>
    <w:p w14:paraId="314C7DCD" w14:textId="77777777" w:rsidR="00CC1986" w:rsidRDefault="00000000" w:rsidP="004E55A3">
      <w:pPr>
        <w:spacing w:after="120"/>
        <w:ind w:firstLine="216"/>
        <w:jc w:val="both"/>
      </w:pPr>
      <w:proofErr w:type="spellStart"/>
      <w:proofErr w:type="spellEnd"/>
      <w:proofErr w:type="spellStart"/>
      <w:proofErr w:type="spellEnd"/>
      <w:r>
        <w:rPr>
          <w:i w:val="0"/>
        </w:rPr>
        <w:t>A skewed label distribution creates another problem because it makes Cohen's κ harder to interpret (Feinstein and Cicchetti, 1990; Byrt et al., 1993). A researcher may then struggle to separate poor annotation from competent annotation of an imbalanced task. If an unreliable corpus is used to train a model, the model can learn the wrong label patterns (Frénay and Verleysen, 2014). If that model is later used to annotate new data, the problem can repeat.</w:t>
      </w:r>
    </w:p>
    <w:p w14:paraId="5E82E176" w14:textId="77777777" w:rsidR="00CC1986" w:rsidRDefault="00000000" w:rsidP="004E55A3">
      <w:pPr>
        <w:spacing w:after="120"/>
        <w:ind w:firstLine="216"/>
        <w:jc w:val="both"/>
      </w:pPr>
      <w:r>
        <w:rPr>
          <w:i w:val="0"/>
        </w:rPr>
        <w:t>Solving only one stage is therefore not enough. Better models cannot compensate for unreliable labels, and an agreement statistic cannot resolve every problem created by a skewed distribution. The four priorities below address different points in the same annotation and evaluation process.</w:t>
      </w:r>
    </w:p>
    <w:p w14:paraId="5E104A5A" w14:textId="2DD1506F" w:rsidR="00CC1986" w:rsidRDefault="005055C8" w:rsidP="004E55A3">
      <w:pPr>
        <w:pStyle w:val="Heading2"/>
        <w:spacing w:after="120"/>
        <w:jc w:val="both"/>
      </w:pPr>
      <w:r>
        <w:rPr>
          <w:rFonts w:ascii="Times New Roman" w:hAnsi="Times New Roman"/>
          <w:i w:val="0"/>
          <w:color w:val="000000"/>
        </w:rPr>
        <w:t>6.2 Report how labels were produced</w:t>
      </w:r>
    </w:p>
    <w:p w14:paraId="32013A69" w14:textId="77777777" w:rsidR="00CC1986" w:rsidRDefault="00000000" w:rsidP="004E55A3">
      <w:pPr>
        <w:spacing w:after="120"/>
        <w:ind w:firstLine="216"/>
        <w:jc w:val="both"/>
      </w:pPr>
      <w:proofErr w:type="spellStart"/>
      <w:proofErr w:type="spellEnd"/>
      <w:r>
        <w:rPr>
          <w:i w:val="0"/>
        </w:rPr>
        <w:t>Corpus releases should state who or what assigned the labels, provide the annotation guideline, and name the task and agreement measure. Data statements can describe the populations and conditions to which a resource applies (Bender and Friedman, 2018). Researchers should also report class distributions, agreement by class, individual judgements and discarded items. Preserving individual annotations allows later work to model differences between annotators instead of reducing every case to a majority label (Mostafazadeh Davani et al., 2022).</w:t>
      </w:r>
    </w:p>
    <w:p w14:paraId="3D6730AE" w14:textId="03A21B13" w:rsidR="00CC1986" w:rsidRDefault="005055C8" w:rsidP="004E55A3">
      <w:pPr>
        <w:pStyle w:val="Heading2"/>
        <w:spacing w:after="120"/>
        <w:jc w:val="both"/>
      </w:pPr>
      <w:r>
        <w:rPr>
          <w:rFonts w:ascii="Times New Roman" w:hAnsi="Times New Roman"/>
          <w:i w:val="0"/>
          <w:color w:val="000000"/>
        </w:rPr>
        <w:t>6.3 Evaluate agreement under class imbalance</w:t>
      </w:r>
    </w:p>
    <w:p w14:paraId="3AC34646" w14:textId="77777777" w:rsidR="00CC1986" w:rsidRDefault="00000000" w:rsidP="004E55A3">
      <w:pPr>
        <w:spacing w:after="120"/>
        <w:ind w:firstLine="216"/>
        <w:jc w:val="both"/>
      </w:pPr>
      <w:r>
        <w:rPr>
          <w:i w:val="0"/>
        </w:rPr>
        <w:t>Researchers should evaluate agreement on data that preserve individual annotations and examine how results change as class proportions vary. One option is prevalence adjustment, which changes the chance-agreement calculation to reduce the effect of unequal category frequencies (Byrt et al., 1993). Its assumptions and suitability for three-class sentiment still need evaluation; adjustment does not automatically make a measure appropriate (Di Eugenio and Glass, 2004). Corpora containing only final labels would require additional annotation.</w:t>
      </w:r>
    </w:p>
    <w:p w14:paraId="706BB4B5" w14:textId="6DBF12E3" w:rsidR="00CC1986" w:rsidRDefault="005055C8" w:rsidP="004E55A3">
      <w:pPr>
        <w:pStyle w:val="Heading2"/>
        <w:spacing w:after="120"/>
        <w:jc w:val="both"/>
      </w:pPr>
      <w:r>
        <w:rPr>
          <w:rFonts w:ascii="Times New Roman" w:hAnsi="Times New Roman"/>
          <w:i w:val="0"/>
          <w:color w:val="000000"/>
        </w:rPr>
        <w:t>6.4 Develop guidance for particles and ambiguity</w:t>
      </w:r>
    </w:p>
    <w:p w14:paraId="6F007651" w14:textId="77777777" w:rsidR="00CC1986" w:rsidRDefault="00000000" w:rsidP="004E55A3">
      <w:pPr>
        <w:spacing w:after="120"/>
        <w:ind w:firstLine="216"/>
        <w:jc w:val="both"/>
      </w:pPr>
      <w:proofErr w:type="spellStart"/>
      <w:proofErr w:type="spellEnd"/>
      <w:proofErr w:type="spellStart"/>
      <w:proofErr w:type="spellEnd"/>
      <w:r>
        <w:rPr>
          <w:i w:val="0"/>
        </w:rPr>
        <w:t xml:space="preserve">Guidelines should show how context changes particles such as </w:t>
      </w:r>
      <w:r>
        <w:rPr>
          <w:i/>
        </w:rPr>
        <w:t>lah</w:t>
      </w:r>
      <w:r>
        <w:rPr>
          <w:i w:val="0"/>
        </w:rPr>
        <w:t xml:space="preserve"> and </w:t>
      </w:r>
      <w:r>
        <w:rPr>
          <w:i/>
        </w:rPr>
        <w:t>kan</w:t>
      </w:r>
      <w:r>
        <w:rPr>
          <w:i w:val="0"/>
        </w:rPr>
        <w:t>. Mohammad (2016) separates questions about the speaker, opinion target and attitude, and Kong et al. (2023) adapt this approach for Malaysian tweets. A Malay-English guideline could add local particle examples and a rule for unresolved ambiguity. Clear guidance can reduce avoidable disagreement while preserving genuinely uncertain cases.</w:t>
      </w:r>
    </w:p>
    <w:p w14:paraId="7FC7F749" w14:textId="1E5E90AA" w:rsidR="00CC1986" w:rsidRDefault="005055C8" w:rsidP="004E55A3">
      <w:pPr>
        <w:pStyle w:val="Heading2"/>
        <w:spacing w:after="120"/>
        <w:jc w:val="both"/>
      </w:pPr>
      <w:r>
        <w:rPr>
          <w:rFonts w:ascii="Times New Roman" w:hAnsi="Times New Roman"/>
          <w:i w:val="0"/>
          <w:color w:val="000000"/>
        </w:rPr>
        <w:t>6.5 Test whether annotators share errors</w:t>
      </w:r>
    </w:p>
    <w:p w14:paraId="3566A115" w14:textId="77777777" w:rsidR="00CC1986" w:rsidRDefault="00000000" w:rsidP="004E55A3">
      <w:pPr>
        <w:spacing w:after="120"/>
        <w:ind w:firstLine="216"/>
        <w:jc w:val="both"/>
      </w:pPr>
      <w:r>
        <w:rPr>
          <w:i w:val="0"/>
        </w:rPr>
        <w:t>Bilingual humans, existing sentiment tools and generative models should label the same Malay-English sample. A separate group of bilingual reviewers could assign reference labels independently and explain disagreements. Genuinely ambiguous cases should retain competing labels. Human review can also improve annotation-error detection (Weber and Plank, 2023). Weber-Genzel et al. (2024) use explanations and later validity judgements to separate error from plausible variation in English textual inference. A similar design could test whether voting reduces errors in Malay-English sentiment or preserves mistakes shared by several annotators.</w:t>
      </w:r>
    </w:p>
    <w:p w14:paraId="3D3E7C52" w14:textId="3DEBB90B" w:rsidR="00CC1986" w:rsidRDefault="005055C8" w:rsidP="004E55A3">
      <w:pPr>
        <w:pStyle w:val="Heading1"/>
        <w:spacing w:before="240" w:after="120"/>
        <w:jc w:val="both"/>
      </w:pPr>
      <w:r>
        <w:rPr>
          <w:color w:val="000000"/>
          <w:sz w:val="26"/>
        </w:rPr>
        <w:t>7. Conclusion</w:t>
      </w:r>
    </w:p>
    <w:p w14:paraId="21341987" w14:textId="77777777" w:rsidR="00CC1986" w:rsidRDefault="00000000" w:rsidP="004E55A3">
      <w:pPr>
        <w:spacing w:after="120"/>
        <w:ind w:firstLine="216"/>
        <w:jc w:val="both"/>
      </w:pPr>
      <w:r>
        <w:rPr>
          <w:i w:val="0"/>
        </w:rPr>
        <w:t>Reliable Malay-English sentiment analysis requires more than a strong classifier. It also requires labels whose quality can be demonstrated. The reviewed resources show three recurring concerns: incomplete agreement reporting, missed Malay sentiment cues, and uncertainty about majority voting when automatic tools share the same limitations. These problems are connected. Missed cues can increase the neutral class, while strong class imbalance makes Cohen's κ harder to interpret. Future work should make annotation procedures transparent, guide context-sensitive expressions, evaluate agreement under class imbalance, and test whether annotators share errors. Until then, it remains difficult to show that a new corpus is more reliable than the resources already available.</w:t>
      </w:r>
    </w:p>
    <w:p w14:paraId="0F8CA125" w14:textId="77777777" w:rsidR="004E55A3" w:rsidRDefault="004E55A3" w:rsidP="004E55A3">
      <w:pPr>
        <w:rPr>
          <w:b/>
          <w:bCs/>
          <w:sz w:val="26"/>
          <w:szCs w:val="26"/>
        </w:rPr>
      </w:pPr>
    </w:p>
    <w:p w14:paraId="66C40B4F" w14:textId="6C1F805F" w:rsidR="00643023" w:rsidRPr="00D05E43" w:rsidRDefault="00643023" w:rsidP="00D05E43">
      <w:pPr>
        <w:pStyle w:val="Heading1"/>
        <w:jc w:val="left"/>
        <w:rPr>
          <w:sz w:val="26"/>
          <w:szCs w:val="26"/>
        </w:rPr>
      </w:pPr>
      <w:r w:rsidRPr="00D05E43">
        <w:rPr>
          <w:sz w:val="26"/>
          <w:szCs w:val="26"/>
        </w:rPr>
        <w:t>References</w:t>
      </w:r>
    </w:p>
    <w:p w14:paraId="09F2C98B"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422A85EE" w14:textId="77777777" w:rsidR="00643023" w:rsidRPr="009C6090" w:rsidRDefault="00643023" w:rsidP="00643023">
      <w:pPr>
        <w:spacing w:after="80"/>
        <w:ind w:left="340" w:hanging="340"/>
        <w:jc w:val="both"/>
      </w:pPr>
      <w:proofErr w:type="spellStart"/>
      <w:r>
        <w:rPr>
          <w:sz w:val="16"/>
          <w:szCs w:val="16"/>
        </w:rPr>
        <w:t>Adilazuarda</w:t>
      </w:r>
      <w:proofErr w:type="spellEnd"/>
      <w:r>
        <w:rPr>
          <w:sz w:val="16"/>
          <w:szCs w:val="16"/>
        </w:rPr>
        <w:t xml:space="preserve">, M. F., </w:t>
      </w:r>
      <w:proofErr w:type="spellStart"/>
      <w:r>
        <w:rPr>
          <w:sz w:val="16"/>
          <w:szCs w:val="16"/>
        </w:rPr>
        <w:t>Cahyawijaya</w:t>
      </w:r>
      <w:proofErr w:type="spellEnd"/>
      <w:r>
        <w:rPr>
          <w:sz w:val="16"/>
          <w:szCs w:val="16"/>
        </w:rPr>
        <w:t xml:space="preserve">, S., Winata, G. I., Fung, P., and </w:t>
      </w:r>
      <w:proofErr w:type="spellStart"/>
      <w:r>
        <w:rPr>
          <w:sz w:val="16"/>
          <w:szCs w:val="16"/>
        </w:rPr>
        <w:t>Purwarianti</w:t>
      </w:r>
      <w:proofErr w:type="spellEnd"/>
      <w:r>
        <w:rPr>
          <w:sz w:val="16"/>
          <w:szCs w:val="16"/>
        </w:rPr>
        <w:t xml:space="preserve">, A. (2022). </w:t>
      </w:r>
      <w:proofErr w:type="spellStart"/>
      <w:r>
        <w:rPr>
          <w:sz w:val="16"/>
          <w:szCs w:val="16"/>
        </w:rPr>
        <w:t>IndoRobusta</w:t>
      </w:r>
      <w:proofErr w:type="spellEnd"/>
      <w:r>
        <w:rPr>
          <w:sz w:val="16"/>
          <w:szCs w:val="16"/>
        </w:rPr>
        <w:t>: Towards robustness against diverse code-mixed Indonesian local languages. Proceedings of the First Workshop on Scaling Up Multilingual Evaluation (</w:t>
      </w:r>
      <w:proofErr w:type="spellStart"/>
      <w:r>
        <w:rPr>
          <w:sz w:val="16"/>
          <w:szCs w:val="16"/>
        </w:rPr>
        <w:t>SUMEval</w:t>
      </w:r>
      <w:proofErr w:type="spellEnd"/>
      <w:r>
        <w:rPr>
          <w:sz w:val="16"/>
          <w:szCs w:val="16"/>
        </w:rPr>
        <w:t>), 25–34.</w:t>
      </w:r>
    </w:p>
    <w:p w14:paraId="7460CA48" w14:textId="77777777" w:rsidR="00643023" w:rsidRPr="009C6090" w:rsidRDefault="00643023" w:rsidP="00643023">
      <w:pPr>
        <w:spacing w:after="80"/>
        <w:ind w:left="340" w:hanging="340"/>
        <w:jc w:val="both"/>
      </w:pPr>
      <w:proofErr w:type="spellStart"/>
      <w:r>
        <w:rPr>
          <w:sz w:val="16"/>
          <w:szCs w:val="16"/>
        </w:rPr>
        <w:t>AlAfnan</w:t>
      </w:r>
      <w:proofErr w:type="spellEnd"/>
      <w:r>
        <w:rPr>
          <w:sz w:val="16"/>
          <w:szCs w:val="16"/>
        </w:rPr>
        <w:t xml:space="preserve">, M. A., </w:t>
      </w:r>
      <w:proofErr w:type="spellStart"/>
      <w:r>
        <w:rPr>
          <w:sz w:val="16"/>
          <w:szCs w:val="16"/>
        </w:rPr>
        <w:t>MohdZuki</w:t>
      </w:r>
      <w:proofErr w:type="spellEnd"/>
      <w:r>
        <w:rPr>
          <w:sz w:val="16"/>
          <w:szCs w:val="16"/>
        </w:rPr>
        <w:t xml:space="preserve">, S. F., and </w:t>
      </w:r>
      <w:proofErr w:type="spellStart"/>
      <w:r>
        <w:rPr>
          <w:sz w:val="16"/>
          <w:szCs w:val="16"/>
        </w:rPr>
        <w:t>AlAfnan</w:t>
      </w:r>
      <w:proofErr w:type="spellEnd"/>
      <w:r>
        <w:rPr>
          <w:sz w:val="16"/>
          <w:szCs w:val="16"/>
        </w:rPr>
        <w:t>, S. M. (2025). Blending identities: Exploring the linguistic, cultural, and pragmatic dimensions of Manglish in the Malaysian society. Studies in Media and Communication, 13(3). https://doi.org/10.11114/smc.v13i3.7654</w:t>
      </w:r>
    </w:p>
    <w:p w14:paraId="403D2FA8" w14:textId="77777777" w:rsidR="00643023" w:rsidRPr="009C6090" w:rsidRDefault="00643023" w:rsidP="00643023">
      <w:pPr>
        <w:spacing w:after="80"/>
        <w:ind w:left="340" w:hanging="340"/>
        <w:jc w:val="both"/>
      </w:pPr>
      <w:proofErr w:type="spellStart"/>
      <w:r>
        <w:rPr>
          <w:sz w:val="16"/>
          <w:szCs w:val="16"/>
        </w:rPr>
        <w:t>Artstein</w:t>
      </w:r>
      <w:proofErr w:type="spellEnd"/>
      <w:r>
        <w:rPr>
          <w:sz w:val="16"/>
          <w:szCs w:val="16"/>
        </w:rPr>
        <w:t xml:space="preserve">, R., and </w:t>
      </w:r>
      <w:proofErr w:type="spellStart"/>
      <w:r>
        <w:rPr>
          <w:sz w:val="16"/>
          <w:szCs w:val="16"/>
        </w:rPr>
        <w:t>Poesio</w:t>
      </w:r>
      <w:proofErr w:type="spellEnd"/>
      <w:r>
        <w:rPr>
          <w:sz w:val="16"/>
          <w:szCs w:val="16"/>
        </w:rPr>
        <w:t>, M. (2008). Survey article: Inter-coder agreement for computational linguistics. Computational Linguistics, 34(4), 555–596. https://doi.org/10.1162/coli.07-034-R2</w:t>
      </w:r>
    </w:p>
    <w:p w14:paraId="065A117B" w14:textId="77777777" w:rsidR="00643023" w:rsidRPr="009C6090" w:rsidRDefault="00643023" w:rsidP="00643023">
      <w:pPr>
        <w:spacing w:after="80"/>
        <w:ind w:left="340" w:hanging="340"/>
        <w:jc w:val="both"/>
      </w:pPr>
      <w:r>
        <w:rPr>
          <w:sz w:val="16"/>
          <w:szCs w:val="16"/>
        </w:rPr>
        <w:lastRenderedPageBreak/>
        <w:t>Bender, E. M., and Friedman, B. (2018). Data statements for natural language processing: Toward mitigating system bias and enabling better science. Transactions of the Association for Computational Linguistics, 6, 587–604. https://doi.org/10.1162/tacl_a_00041</w:t>
      </w:r>
    </w:p>
    <w:p w14:paraId="485D602B"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13F2C36"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2F8FDE3F"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719A66EE" w14:textId="77777777" w:rsidR="00643023" w:rsidRPr="009C6090" w:rsidRDefault="00643023" w:rsidP="00643023">
      <w:pPr>
        <w:spacing w:after="80"/>
        <w:ind w:left="340" w:hanging="340"/>
        <w:jc w:val="both"/>
      </w:pPr>
      <w:proofErr w:type="spellStart"/>
      <w:r>
        <w:rPr>
          <w:sz w:val="16"/>
          <w:szCs w:val="16"/>
        </w:rPr>
        <w:t>Conneau</w:t>
      </w:r>
      <w:proofErr w:type="spellEnd"/>
      <w:r>
        <w:rPr>
          <w:sz w:val="16"/>
          <w:szCs w:val="16"/>
        </w:rPr>
        <w:t>,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4B6BADB9"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496E882F"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306B5335" w14:textId="77777777" w:rsidR="00643023" w:rsidRPr="009C6090" w:rsidRDefault="00643023" w:rsidP="00643023">
      <w:pPr>
        <w:spacing w:after="80"/>
        <w:ind w:left="340" w:hanging="340"/>
        <w:jc w:val="both"/>
      </w:pPr>
      <w:proofErr w:type="spellStart"/>
      <w:r>
        <w:rPr>
          <w:sz w:val="16"/>
          <w:szCs w:val="16"/>
        </w:rPr>
        <w:t>Doğruöz</w:t>
      </w:r>
      <w:proofErr w:type="spellEnd"/>
      <w:r>
        <w:rPr>
          <w:sz w:val="16"/>
          <w:szCs w:val="16"/>
        </w:rPr>
        <w:t>,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2063F3D2"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358D716B" w14:textId="77777777" w:rsidR="00643023" w:rsidRPr="009C6090" w:rsidRDefault="00643023" w:rsidP="00643023">
      <w:pPr>
        <w:spacing w:after="80"/>
        <w:ind w:left="340" w:hanging="340"/>
        <w:jc w:val="both"/>
      </w:pPr>
      <w:proofErr w:type="spellStart"/>
      <w:r>
        <w:rPr>
          <w:sz w:val="16"/>
          <w:szCs w:val="16"/>
        </w:rPr>
        <w:t>Frénay</w:t>
      </w:r>
      <w:proofErr w:type="spellEnd"/>
      <w:r>
        <w:rPr>
          <w:sz w:val="16"/>
          <w:szCs w:val="16"/>
        </w:rPr>
        <w:t xml:space="preserve">, B., and </w:t>
      </w:r>
      <w:proofErr w:type="spellStart"/>
      <w:r>
        <w:rPr>
          <w:sz w:val="16"/>
          <w:szCs w:val="16"/>
        </w:rPr>
        <w:t>Verleysen</w:t>
      </w:r>
      <w:proofErr w:type="spellEnd"/>
      <w:r>
        <w:rPr>
          <w:sz w:val="16"/>
          <w:szCs w:val="16"/>
        </w:rPr>
        <w:t>, M. (2014). Classification in the presence of label noise: A survey. IEEE Transactions on Neural Networks and Learning Systems, 25(5), 845–869. https://doi.org/10.1109/TNNLS.2013.2292894</w:t>
      </w:r>
    </w:p>
    <w:p w14:paraId="0E44DD35" w14:textId="77777777" w:rsidR="00643023" w:rsidRPr="009C6090" w:rsidRDefault="00643023" w:rsidP="00643023">
      <w:pPr>
        <w:spacing w:after="80"/>
        <w:ind w:left="340" w:hanging="340"/>
        <w:jc w:val="both"/>
      </w:pPr>
      <w:r>
        <w:rPr>
          <w:sz w:val="16"/>
          <w:szCs w:val="16"/>
        </w:rPr>
        <w:t>Hovy, D., Berg-Kirkpatrick, T., Vaswani, A., and Hovy, E. (2013). Learning whom to trust with MACE. Proceedings of the 2013 Conference of the North American Chapter of the Association for Computational Linguistics: Human Language Technologies, 1120–1130. https://aclanthology.org/N13-1132/</w:t>
      </w:r>
    </w:p>
    <w:p w14:paraId="02E6EABD" w14:textId="77777777" w:rsidR="00643023" w:rsidRPr="009C6090" w:rsidRDefault="00643023" w:rsidP="00643023">
      <w:pPr>
        <w:spacing w:after="80"/>
        <w:ind w:left="340" w:hanging="340"/>
        <w:jc w:val="both"/>
      </w:pPr>
      <w:r>
        <w:rPr>
          <w:sz w:val="16"/>
          <w:szCs w:val="16"/>
        </w:rPr>
        <w:t>Hutto, C. J., and Gilbert, E. (2014). VADER: A parsimonious rule-based model for sentiment analysis of social media text. Proceedings of the International AAAI Conference on Web and Social Media, 8(1), 216–225.</w:t>
      </w:r>
    </w:p>
    <w:p w14:paraId="6FC7F5C7" w14:textId="77777777" w:rsidR="00643023" w:rsidRPr="009C6090" w:rsidRDefault="00643023" w:rsidP="00643023">
      <w:pPr>
        <w:spacing w:after="80"/>
        <w:ind w:left="340" w:hanging="340"/>
        <w:jc w:val="both"/>
      </w:pPr>
      <w:r>
        <w:rPr>
          <w:sz w:val="16"/>
          <w:szCs w:val="16"/>
        </w:rPr>
        <w:t xml:space="preserve">Jadhav, S., Shanbhag, A., </w:t>
      </w:r>
      <w:proofErr w:type="spellStart"/>
      <w:r>
        <w:rPr>
          <w:sz w:val="16"/>
          <w:szCs w:val="16"/>
        </w:rPr>
        <w:t>Thakurdesai</w:t>
      </w:r>
      <w:proofErr w:type="spellEnd"/>
      <w:r>
        <w:rPr>
          <w:sz w:val="16"/>
          <w:szCs w:val="16"/>
        </w:rPr>
        <w:t>, A., Sinare, R., and Joshi, R. (2025). On limitations of LLM as annotator for low resource languages. Proceedings of the 8th International Conference on Natural Language and Speech Processing (ICNLSP-2025), 277–282.</w:t>
      </w:r>
    </w:p>
    <w:p w14:paraId="652CB812" w14:textId="77777777" w:rsidR="00643023" w:rsidRPr="009C6090" w:rsidRDefault="00643023" w:rsidP="00643023">
      <w:pPr>
        <w:spacing w:after="80"/>
        <w:ind w:left="340" w:hanging="340"/>
        <w:jc w:val="both"/>
      </w:pPr>
      <w:r w:rsidRPr="00D540FD">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7F9E8724" w14:textId="77777777" w:rsidR="00643023" w:rsidRPr="009C6090" w:rsidRDefault="00643023" w:rsidP="00643023">
      <w:pPr>
        <w:spacing w:after="80"/>
        <w:ind w:left="340" w:hanging="340"/>
        <w:jc w:val="both"/>
      </w:pPr>
      <w:proofErr w:type="spellStart"/>
      <w:r>
        <w:rPr>
          <w:sz w:val="16"/>
          <w:szCs w:val="16"/>
        </w:rPr>
        <w:t>Kasmuri</w:t>
      </w:r>
      <w:proofErr w:type="spellEnd"/>
      <w:r>
        <w:rPr>
          <w:sz w:val="16"/>
          <w:szCs w:val="16"/>
        </w:rPr>
        <w:t xml:space="preserve">, E., and </w:t>
      </w:r>
      <w:proofErr w:type="spellStart"/>
      <w:r>
        <w:rPr>
          <w:sz w:val="16"/>
          <w:szCs w:val="16"/>
        </w:rPr>
        <w:t>Basiron</w:t>
      </w:r>
      <w:proofErr w:type="spellEnd"/>
      <w:r>
        <w:rPr>
          <w:sz w:val="16"/>
          <w:szCs w:val="16"/>
        </w:rPr>
        <w:t>, H. (2019). Building a Malay-English code-switching subjectivity corpus for sentiment analysis. International Journal of Advanced Soft Computing and Its Applications, 11(1), 112–130.</w:t>
      </w:r>
    </w:p>
    <w:p w14:paraId="7FB372E6" w14:textId="77777777" w:rsidR="00643023" w:rsidRPr="009C6090" w:rsidRDefault="00643023" w:rsidP="00643023">
      <w:pPr>
        <w:spacing w:after="80"/>
        <w:ind w:left="340" w:hanging="340"/>
        <w:jc w:val="both"/>
      </w:pPr>
      <w:r>
        <w:rPr>
          <w:sz w:val="16"/>
          <w:szCs w:val="16"/>
        </w:rPr>
        <w:t xml:space="preserve">Khanuja, S., </w:t>
      </w:r>
      <w:proofErr w:type="spellStart"/>
      <w:r>
        <w:rPr>
          <w:sz w:val="16"/>
          <w:szCs w:val="16"/>
        </w:rPr>
        <w:t>Dandapat</w:t>
      </w:r>
      <w:proofErr w:type="spellEnd"/>
      <w:r>
        <w:rPr>
          <w:sz w:val="16"/>
          <w:szCs w:val="16"/>
        </w:rPr>
        <w:t xml:space="preserve">, S., Srinivasan, A., Sitaram, S., and Choudhury, M. (2020). </w:t>
      </w:r>
      <w:proofErr w:type="spellStart"/>
      <w:r>
        <w:rPr>
          <w:sz w:val="16"/>
          <w:szCs w:val="16"/>
        </w:rPr>
        <w:t>GLUECoS</w:t>
      </w:r>
      <w:proofErr w:type="spellEnd"/>
      <w:r>
        <w:rPr>
          <w:sz w:val="16"/>
          <w:szCs w:val="16"/>
        </w:rPr>
        <w:t>: An evaluation benchmark for code-switched NLP. Proceedings of the 58th Annual Meeting of the Association for Computational Linguistics, 3575–3585. https://doi.org/10.18653/v1/2020.acl-main.329</w:t>
      </w:r>
    </w:p>
    <w:p w14:paraId="224BE774" w14:textId="77777777" w:rsidR="00643023" w:rsidRPr="009C6090" w:rsidRDefault="00643023" w:rsidP="00643023">
      <w:pPr>
        <w:spacing w:after="80"/>
        <w:ind w:left="340" w:hanging="340"/>
        <w:jc w:val="both"/>
      </w:pPr>
      <w:r>
        <w:rPr>
          <w:sz w:val="16"/>
          <w:szCs w:val="16"/>
        </w:rPr>
        <w:t xml:space="preserve">Kong, J. T. H., Juwono, F. H., Ngu, I. Y., </w:t>
      </w:r>
      <w:proofErr w:type="spellStart"/>
      <w:r>
        <w:rPr>
          <w:sz w:val="16"/>
          <w:szCs w:val="16"/>
        </w:rPr>
        <w:t>Nugraha</w:t>
      </w:r>
      <w:proofErr w:type="spellEnd"/>
      <w:r>
        <w:rPr>
          <w:sz w:val="16"/>
          <w:szCs w:val="16"/>
        </w:rPr>
        <w:t xml:space="preserve">, I. G. D., </w:t>
      </w:r>
      <w:proofErr w:type="spellStart"/>
      <w:r>
        <w:rPr>
          <w:sz w:val="16"/>
          <w:szCs w:val="16"/>
        </w:rPr>
        <w:t>Maraden</w:t>
      </w:r>
      <w:proofErr w:type="spellEnd"/>
      <w:r>
        <w:rPr>
          <w:sz w:val="16"/>
          <w:szCs w:val="16"/>
        </w:rPr>
        <w:t>, Y., and Wong, W. K. (2023). A mixed Malay-English language COVID-19 Twitter dataset: A sentiment analysis. Big Data and Cognitive Computing, 7(2), 61. https://doi.org/10.3390/bdcc7020061</w:t>
      </w:r>
    </w:p>
    <w:p w14:paraId="54FB1765" w14:textId="77777777" w:rsidR="00643023" w:rsidRPr="009C6090" w:rsidRDefault="00643023" w:rsidP="00643023">
      <w:pPr>
        <w:spacing w:after="80"/>
        <w:ind w:left="340" w:hanging="340"/>
        <w:jc w:val="both"/>
      </w:pPr>
      <w:proofErr w:type="spellStart"/>
      <w:r>
        <w:rPr>
          <w:sz w:val="16"/>
          <w:szCs w:val="16"/>
        </w:rPr>
        <w:t>Maskat</w:t>
      </w:r>
      <w:proofErr w:type="spellEnd"/>
      <w:r>
        <w:rPr>
          <w:sz w:val="16"/>
          <w:szCs w:val="16"/>
        </w:rPr>
        <w:t>, R., and Rahman, N. A. (2020). Categorization of Malay social media text and normalization of spelling variations and vowel-less words. International Journal on Advanced Science, Engineering and Information Technology, 10(4), 1380–1386.</w:t>
      </w:r>
    </w:p>
    <w:p w14:paraId="3FBD57C1" w14:textId="77777777" w:rsidR="00643023" w:rsidRPr="009C6090" w:rsidRDefault="00643023" w:rsidP="00643023">
      <w:pPr>
        <w:spacing w:after="80"/>
        <w:ind w:left="340" w:hanging="340"/>
        <w:jc w:val="both"/>
      </w:pPr>
      <w:r>
        <w:rPr>
          <w:sz w:val="16"/>
          <w:szCs w:val="16"/>
        </w:rPr>
        <w:t>Mohammad, S. M. (2016). A practical guide to sentiment annotation: Challenges and solutions. Proceedings of the 7th Workshop on Computational Approaches to Subjectivity, Sentiment and Social Media Analysis (WASSA), 174–179.</w:t>
      </w:r>
    </w:p>
    <w:p w14:paraId="5DDC6DB0" w14:textId="77777777" w:rsidR="00643023" w:rsidRPr="009C6090" w:rsidRDefault="00643023" w:rsidP="00643023">
      <w:pPr>
        <w:spacing w:after="80"/>
        <w:ind w:left="340" w:hanging="340"/>
        <w:jc w:val="both"/>
      </w:pPr>
      <w:r>
        <w:rPr>
          <w:sz w:val="16"/>
          <w:szCs w:val="16"/>
        </w:rPr>
        <w:t xml:space="preserve">Mohd Shamsuddin, A. M., Samson Juan, S., Chua, S., and </w:t>
      </w:r>
      <w:proofErr w:type="spellStart"/>
      <w:r>
        <w:rPr>
          <w:sz w:val="16"/>
          <w:szCs w:val="16"/>
        </w:rPr>
        <w:t>Bramantoro</w:t>
      </w:r>
      <w:proofErr w:type="spellEnd"/>
      <w:r>
        <w:rPr>
          <w:sz w:val="16"/>
          <w:szCs w:val="16"/>
        </w:rPr>
        <w:t>, A. (2024). Semi-automatic sentiment identification for Malay-English code-switched data. Journal of Advanced Research Design, 123(1), 198–212. https://doi.org/10.37934/ard.123.1.198212</w:t>
      </w:r>
    </w:p>
    <w:p w14:paraId="6C68EC53" w14:textId="77777777" w:rsidR="00643023" w:rsidRPr="009C6090" w:rsidRDefault="00643023" w:rsidP="00643023">
      <w:pPr>
        <w:spacing w:after="80"/>
        <w:ind w:left="340" w:hanging="340"/>
        <w:jc w:val="both"/>
      </w:pPr>
      <w:proofErr w:type="spellStart"/>
      <w:r>
        <w:rPr>
          <w:sz w:val="16"/>
          <w:szCs w:val="16"/>
        </w:rPr>
        <w:t>Mostafazadeh</w:t>
      </w:r>
      <w:proofErr w:type="spellEnd"/>
      <w:r>
        <w:rPr>
          <w:sz w:val="16"/>
          <w:szCs w:val="16"/>
        </w:rPr>
        <w:t xml:space="preserve"> Davani, A., Díaz, M., and Prabhakaran, V. (2022). Dealing with disagreements: Looking beyond the majority vote in subjective annotations. Transactions of the Association for Computational Linguistics, 10, 92–110. https://doi.org/10.1162/tacl_a_00449</w:t>
      </w:r>
    </w:p>
    <w:p w14:paraId="103F21DE"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610302E9" w14:textId="77777777" w:rsidR="00643023" w:rsidRPr="009C6090" w:rsidRDefault="00643023" w:rsidP="00643023">
      <w:pPr>
        <w:spacing w:after="80"/>
        <w:ind w:left="340" w:hanging="340"/>
        <w:jc w:val="both"/>
      </w:pPr>
      <w:r>
        <w:rPr>
          <w:sz w:val="16"/>
          <w:szCs w:val="16"/>
        </w:rPr>
        <w:t xml:space="preserve">Northcutt, C. G., </w:t>
      </w:r>
      <w:proofErr w:type="spellStart"/>
      <w:r>
        <w:rPr>
          <w:sz w:val="16"/>
          <w:szCs w:val="16"/>
        </w:rPr>
        <w:t>Athalye</w:t>
      </w:r>
      <w:proofErr w:type="spellEnd"/>
      <w:r>
        <w:rPr>
          <w:sz w:val="16"/>
          <w:szCs w:val="16"/>
        </w:rPr>
        <w:t>, A., and Mueller, J. (2021). Pervasive label errors in test sets destabilize machine learning benchmarks. Proceedings of the 35th Conference on Neural Information Processing Systems (</w:t>
      </w:r>
      <w:proofErr w:type="spellStart"/>
      <w:r>
        <w:rPr>
          <w:sz w:val="16"/>
          <w:szCs w:val="16"/>
        </w:rPr>
        <w:t>NeurIPS</w:t>
      </w:r>
      <w:proofErr w:type="spellEnd"/>
      <w:r>
        <w:rPr>
          <w:sz w:val="16"/>
          <w:szCs w:val="16"/>
        </w:rPr>
        <w:t>): Datasets and Benchmarks Track.</w:t>
      </w:r>
    </w:p>
    <w:p w14:paraId="4B938680" w14:textId="77777777" w:rsidR="00643023" w:rsidRPr="009C6090" w:rsidRDefault="00643023" w:rsidP="00643023">
      <w:pPr>
        <w:spacing w:after="80"/>
        <w:ind w:left="340" w:hanging="340"/>
        <w:jc w:val="both"/>
      </w:pPr>
      <w:r>
        <w:rPr>
          <w:sz w:val="16"/>
          <w:szCs w:val="16"/>
        </w:rPr>
        <w:lastRenderedPageBreak/>
        <w:t>Pavlick, E., and Kwiatkowski, T. (2019). Inherent disagreements in human textual inferences. Transactions of the Association for Computational Linguistics, 7, 677–694. https://doi.org/10.1162/tacl_a_00293</w:t>
      </w:r>
    </w:p>
    <w:p w14:paraId="759BBEE1" w14:textId="77777777" w:rsidR="00643023" w:rsidRPr="009C6090" w:rsidRDefault="00643023" w:rsidP="00643023">
      <w:pPr>
        <w:spacing w:after="80"/>
        <w:ind w:left="340" w:hanging="340"/>
        <w:jc w:val="both"/>
      </w:pPr>
      <w:r>
        <w:rPr>
          <w:sz w:val="16"/>
          <w:szCs w:val="16"/>
        </w:rPr>
        <w:t>Plank, B. (2022). The “Problem” of human label variation: On ground truth in data, modeling and evaluation. Proceedings of the 2022 Conference on Empirical Methods in Natural Language Processing, 10671–10682. https://doi.org/10.18653/v1/2022.emnlp-main.731</w:t>
      </w:r>
    </w:p>
    <w:p w14:paraId="72F6AA88" w14:textId="77777777" w:rsidR="00643023" w:rsidRPr="009C6090" w:rsidRDefault="00643023" w:rsidP="00643023">
      <w:pPr>
        <w:spacing w:after="80"/>
        <w:ind w:left="340" w:hanging="340"/>
        <w:jc w:val="both"/>
      </w:pPr>
      <w:r>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7BF919B7" w14:textId="77777777" w:rsidR="00643023" w:rsidRPr="009C6090" w:rsidRDefault="00643023" w:rsidP="00643023">
      <w:pPr>
        <w:spacing w:after="80"/>
        <w:ind w:left="340" w:hanging="340"/>
        <w:jc w:val="both"/>
      </w:pPr>
      <w:proofErr w:type="spellStart"/>
      <w:r>
        <w:rPr>
          <w:sz w:val="16"/>
          <w:szCs w:val="16"/>
        </w:rPr>
        <w:t>Romadhona</w:t>
      </w:r>
      <w:proofErr w:type="spellEnd"/>
      <w:r>
        <w:rPr>
          <w:sz w:val="16"/>
          <w:szCs w:val="16"/>
        </w:rPr>
        <w:t xml:space="preserve">, N. P., Lu, S.-E., Lu, B.-H., and Tsai, R. T.-H. (2022). BRCC and </w:t>
      </w:r>
      <w:proofErr w:type="spellStart"/>
      <w:r>
        <w:rPr>
          <w:sz w:val="16"/>
          <w:szCs w:val="16"/>
        </w:rPr>
        <w:t>SentiBahasaRojak</w:t>
      </w:r>
      <w:proofErr w:type="spellEnd"/>
      <w:r>
        <w:rPr>
          <w:sz w:val="16"/>
          <w:szCs w:val="16"/>
        </w:rPr>
        <w:t>: The first Bahasa Rojak corpus for pretraining and sentiment analysis dataset. Proceedings of the 29th International Conference on Computational Linguistics (COLING), 4418–4428.</w:t>
      </w:r>
    </w:p>
    <w:p w14:paraId="1E5C7A7E" w14:textId="77777777" w:rsidR="00643023" w:rsidRPr="009C6090" w:rsidRDefault="00643023" w:rsidP="00643023">
      <w:pPr>
        <w:spacing w:after="80"/>
        <w:ind w:left="340" w:hanging="340"/>
        <w:jc w:val="both"/>
      </w:pPr>
      <w:r>
        <w:rPr>
          <w:sz w:val="16"/>
          <w:szCs w:val="16"/>
        </w:rPr>
        <w:t xml:space="preserve">Selvaraju, S., </w:t>
      </w:r>
      <w:proofErr w:type="spellStart"/>
      <w:r>
        <w:rPr>
          <w:sz w:val="16"/>
          <w:szCs w:val="16"/>
        </w:rPr>
        <w:t>Sjarif</w:t>
      </w:r>
      <w:proofErr w:type="spellEnd"/>
      <w:r>
        <w:rPr>
          <w:sz w:val="16"/>
          <w:szCs w:val="16"/>
        </w:rPr>
        <w:t>, N. N. A., and Anuar, M. S. M. (2024). Sentiment analysis in code mixing Malay text: A review. 2024 5th International Conference on Artificial Intelligence and Data Sciences (</w:t>
      </w:r>
      <w:proofErr w:type="spellStart"/>
      <w:r>
        <w:rPr>
          <w:sz w:val="16"/>
          <w:szCs w:val="16"/>
        </w:rPr>
        <w:t>AiDAS</w:t>
      </w:r>
      <w:proofErr w:type="spellEnd"/>
      <w:r>
        <w:rPr>
          <w:sz w:val="16"/>
          <w:szCs w:val="16"/>
        </w:rPr>
        <w:t>), 280–285. https://doi.org/10.1109/AiDAS63860.2024.10730298</w:t>
      </w:r>
    </w:p>
    <w:p w14:paraId="5CD3F4BC" w14:textId="77777777" w:rsidR="00643023" w:rsidRPr="009C6090" w:rsidRDefault="00643023" w:rsidP="00643023">
      <w:pPr>
        <w:spacing w:after="80"/>
        <w:ind w:left="340" w:hanging="340"/>
        <w:jc w:val="both"/>
      </w:pPr>
      <w:proofErr w:type="spellStart"/>
      <w:r>
        <w:rPr>
          <w:sz w:val="16"/>
          <w:szCs w:val="16"/>
        </w:rPr>
        <w:t>Treffers</w:t>
      </w:r>
      <w:proofErr w:type="spellEnd"/>
      <w:r>
        <w:rPr>
          <w:sz w:val="16"/>
          <w:szCs w:val="16"/>
        </w:rPr>
        <w:t>-Daller, J., Majid, S., Thai, Y. N., and Flynn, N. (2022). Explaining the diversity in Malay-English code-switching patterns: The contribution of typological similarity and bilingual optimization strategies. Languages, 7(4), 299. https://doi.org/10.3390/languages7040299</w:t>
      </w:r>
    </w:p>
    <w:p w14:paraId="4A60BCA5" w14:textId="77777777" w:rsidR="00643023" w:rsidRPr="009C6090" w:rsidRDefault="00643023" w:rsidP="00643023">
      <w:pPr>
        <w:spacing w:after="80"/>
        <w:ind w:left="340" w:hanging="340"/>
        <w:jc w:val="both"/>
      </w:pPr>
      <w:r>
        <w:rPr>
          <w:sz w:val="16"/>
          <w:szCs w:val="16"/>
        </w:rPr>
        <w:t xml:space="preserve">Uma, A. N., Fornaciari, T., Hovy, D., Paun, S., Plank, B., and </w:t>
      </w:r>
      <w:proofErr w:type="spellStart"/>
      <w:r>
        <w:rPr>
          <w:sz w:val="16"/>
          <w:szCs w:val="16"/>
        </w:rPr>
        <w:t>Poesio</w:t>
      </w:r>
      <w:proofErr w:type="spellEnd"/>
      <w:r>
        <w:rPr>
          <w:sz w:val="16"/>
          <w:szCs w:val="16"/>
        </w:rPr>
        <w:t>, M. (2021). Learning from disagreement: A survey. Journal of Artificial Intelligence Research, 72, 1385–1470. https://doi.org/10.1613/jair.1.12752</w:t>
      </w:r>
    </w:p>
    <w:p w14:paraId="7C31D271" w14:textId="77777777" w:rsidR="00643023" w:rsidRPr="009C6090" w:rsidRDefault="00643023" w:rsidP="00643023">
      <w:pPr>
        <w:spacing w:after="80"/>
        <w:ind w:left="340" w:hanging="340"/>
        <w:jc w:val="both"/>
      </w:pPr>
      <w:r>
        <w:rPr>
          <w:sz w:val="16"/>
          <w:szCs w:val="16"/>
        </w:rPr>
        <w:t xml:space="preserve">Weber, L., and Plank, B. (2023). </w:t>
      </w:r>
      <w:proofErr w:type="spellStart"/>
      <w:r>
        <w:rPr>
          <w:sz w:val="16"/>
          <w:szCs w:val="16"/>
        </w:rPr>
        <w:t>ActiveAED</w:t>
      </w:r>
      <w:proofErr w:type="spellEnd"/>
      <w:r>
        <w:rPr>
          <w:sz w:val="16"/>
          <w:szCs w:val="16"/>
        </w:rPr>
        <w:t>: A human in the loop improves annotation error detection. Findings of the Association for Computational Linguistics: ACL 2023, 8834–8845. https://doi.org/10.18653/v1/2023.findings-acl.562</w:t>
      </w:r>
    </w:p>
    <w:p w14:paraId="1E63245A" w14:textId="77777777" w:rsidR="00643023" w:rsidRPr="009C6090" w:rsidRDefault="00643023" w:rsidP="00643023">
      <w:pPr>
        <w:spacing w:after="80"/>
        <w:ind w:left="340" w:hanging="340"/>
        <w:jc w:val="both"/>
      </w:pPr>
      <w:r>
        <w:rPr>
          <w:sz w:val="16"/>
          <w:szCs w:val="16"/>
        </w:rPr>
        <w:t xml:space="preserve">Weber-Genzel, L., Peng, S., de </w:t>
      </w:r>
      <w:proofErr w:type="spellStart"/>
      <w:r>
        <w:rPr>
          <w:sz w:val="16"/>
          <w:szCs w:val="16"/>
        </w:rPr>
        <w:t>Marneffe</w:t>
      </w:r>
      <w:proofErr w:type="spellEnd"/>
      <w:r>
        <w:rPr>
          <w:sz w:val="16"/>
          <w:szCs w:val="16"/>
        </w:rPr>
        <w:t xml:space="preserve">, M.-C., and Plank, B. (2024). </w:t>
      </w:r>
      <w:proofErr w:type="spellStart"/>
      <w:r>
        <w:rPr>
          <w:sz w:val="16"/>
          <w:szCs w:val="16"/>
        </w:rPr>
        <w:t>VariErr</w:t>
      </w:r>
      <w:proofErr w:type="spellEnd"/>
      <w:r>
        <w:rPr>
          <w:sz w:val="16"/>
          <w:szCs w:val="16"/>
        </w:rPr>
        <w:t xml:space="preserve"> NLI: Separating annotation error from human label variation. Proceedings of the 62nd Annual Meeting of the Association for Computational Linguistics (Volume 1: Long Papers), 2256–2269. https://doi.org/10.18653/v1/2024.acl-long.123</w:t>
      </w:r>
    </w:p>
    <w:p w14:paraId="5C76485E"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40C3166A" w14:textId="77777777" w:rsidR="00643023" w:rsidRPr="009C6090" w:rsidRDefault="00643023" w:rsidP="00643023">
      <w:pPr>
        <w:spacing w:after="80"/>
        <w:ind w:left="340" w:hanging="340"/>
        <w:jc w:val="both"/>
      </w:pPr>
      <w:r>
        <w:rPr>
          <w:sz w:val="16"/>
          <w:szCs w:val="16"/>
        </w:rPr>
        <w:t xml:space="preserve">Winata, G. I., </w:t>
      </w:r>
      <w:proofErr w:type="spellStart"/>
      <w:r>
        <w:rPr>
          <w:sz w:val="16"/>
          <w:szCs w:val="16"/>
        </w:rPr>
        <w:t>Cahyawijaya</w:t>
      </w:r>
      <w:proofErr w:type="spellEnd"/>
      <w:r>
        <w:rPr>
          <w:sz w:val="16"/>
          <w:szCs w:val="16"/>
        </w:rPr>
        <w:t xml:space="preserve">, S., Liu, Z., Lin, Z., </w:t>
      </w:r>
      <w:proofErr w:type="spellStart"/>
      <w:r>
        <w:rPr>
          <w:sz w:val="16"/>
          <w:szCs w:val="16"/>
        </w:rPr>
        <w:t>Madotto</w:t>
      </w:r>
      <w:proofErr w:type="spellEnd"/>
      <w:r>
        <w:rPr>
          <w:sz w:val="16"/>
          <w:szCs w:val="16"/>
        </w:rPr>
        <w:t>, A., and Fung, P. (2021). Are multilingual models effective in code-switching? Proceedings of the Fifth Workshop on Computational Approaches to Linguistic Code-Switching, 142–153. https://doi.org/10.18653/v1/2021.calcs-1.20</w:t>
      </w:r>
    </w:p>
    <w:sectPr w:rsidR="00643023" w:rsidRPr="009C6090">
      <w:headerReference w:type="even" r:id="rId9"/>
      <w:headerReference w:type="default" r:id="rId10"/>
      <w:footerReference w:type="even" r:id="rId11"/>
      <w:footerReference w:type="default" r:id="rId12"/>
      <w:headerReference w:type="first" r:id="rId13"/>
      <w:footerReference w:type="first" r:id="rId14"/>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DABEE" w14:textId="77777777" w:rsidR="00AE4419" w:rsidRPr="006546A0" w:rsidRDefault="00AE4419">
      <w:r w:rsidRPr="006546A0">
        <w:separator/>
      </w:r>
    </w:p>
  </w:endnote>
  <w:endnote w:type="continuationSeparator" w:id="0">
    <w:p w14:paraId="151140BE" w14:textId="77777777" w:rsidR="00AE4419" w:rsidRPr="006546A0" w:rsidRDefault="00AE4419">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997F7"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4E88"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F07B"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220F729B"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5BB66274"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EEBD96D"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3901155F"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5BB66274"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EEBD96D"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3901155F"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20158" w14:textId="77777777" w:rsidR="00AE4419" w:rsidRPr="006546A0" w:rsidRDefault="00AE4419">
      <w:r w:rsidRPr="006546A0">
        <w:separator/>
      </w:r>
    </w:p>
  </w:footnote>
  <w:footnote w:type="continuationSeparator" w:id="0">
    <w:p w14:paraId="38F000DD" w14:textId="77777777" w:rsidR="00AE4419" w:rsidRPr="006546A0" w:rsidRDefault="00AE4419">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EB68"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 xml:space="preserve">International Journal of </w:t>
    </w:r>
    <w:proofErr w:type="spellStart"/>
    <w:r w:rsidRPr="006546A0">
      <w:rPr>
        <w:rFonts w:ascii="Gulim" w:eastAsia="Gulim" w:hAnsi="Gulim" w:cs="Gulim"/>
        <w:color w:val="000000"/>
        <w:sz w:val="16"/>
        <w:szCs w:val="16"/>
      </w:rPr>
      <w:t>xxxxxx</w:t>
    </w:r>
    <w:proofErr w:type="spellEnd"/>
  </w:p>
  <w:p w14:paraId="1173CFF9"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22FE477E"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100983EB"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D431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w:t>
    </w:r>
    <w:proofErr w:type="gramStart"/>
    <w:r w:rsidRPr="006546A0">
      <w:rPr>
        <w:color w:val="000000"/>
        <w:highlight w:val="white"/>
      </w:rPr>
      <w:t xml:space="preserve">OIJI)   </w:t>
    </w:r>
    <w:proofErr w:type="gramEnd"/>
    <w:r w:rsidRPr="006546A0">
      <w:rPr>
        <w:color w:val="000000"/>
        <w:highlight w:val="white"/>
      </w:rPr>
      <w:t xml:space="preserve">                                                 Vol. 7 No. 2 (2019)</w:t>
    </w:r>
  </w:p>
  <w:p w14:paraId="70333D5D" w14:textId="77777777" w:rsidR="00EE11D5" w:rsidRPr="006546A0" w:rsidRDefault="00EE11D5">
    <w:pPr>
      <w:pBdr>
        <w:top w:val="nil"/>
        <w:left w:val="nil"/>
        <w:bottom w:val="nil"/>
        <w:right w:val="nil"/>
        <w:between w:val="nil"/>
      </w:pBdr>
      <w:tabs>
        <w:tab w:val="center" w:pos="4252"/>
        <w:tab w:val="right" w:pos="8504"/>
      </w:tabs>
      <w:rPr>
        <w:color w:val="000000"/>
      </w:rPr>
    </w:pPr>
  </w:p>
  <w:p w14:paraId="78C61696"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FE27"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w:t>
    </w:r>
    <w:proofErr w:type="spellStart"/>
    <w:r w:rsidRPr="006546A0">
      <w:rPr>
        <w:color w:val="000000"/>
        <w:highlight w:val="white"/>
      </w:rPr>
      <w:t>xxxx</w:t>
    </w:r>
    <w:proofErr w:type="spellEnd"/>
    <w:r w:rsidRPr="006546A0">
      <w:rPr>
        <w:color w:val="000000"/>
        <w:highlight w:val="white"/>
      </w:rPr>
      <w:t xml:space="preserve">                                                              </w:t>
    </w:r>
    <w:r w:rsidRPr="006546A0">
      <w:rPr>
        <w:color w:val="000000"/>
      </w:rPr>
      <w:t>xxx</w:t>
    </w:r>
  </w:p>
  <w:p w14:paraId="37321C93"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187EF75D"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33FFC"/>
    <w:rsid w:val="0005406F"/>
    <w:rsid w:val="00076E55"/>
    <w:rsid w:val="000C3BC5"/>
    <w:rsid w:val="000C540E"/>
    <w:rsid w:val="000F3826"/>
    <w:rsid w:val="00113035"/>
    <w:rsid w:val="00114CCC"/>
    <w:rsid w:val="00123B06"/>
    <w:rsid w:val="001329DD"/>
    <w:rsid w:val="001700A3"/>
    <w:rsid w:val="00176DDF"/>
    <w:rsid w:val="001A31B8"/>
    <w:rsid w:val="001B76A7"/>
    <w:rsid w:val="001C3158"/>
    <w:rsid w:val="001D5261"/>
    <w:rsid w:val="001D6639"/>
    <w:rsid w:val="001F1776"/>
    <w:rsid w:val="001F5F4D"/>
    <w:rsid w:val="00247B5D"/>
    <w:rsid w:val="0028087E"/>
    <w:rsid w:val="00292549"/>
    <w:rsid w:val="002E4571"/>
    <w:rsid w:val="00300FB1"/>
    <w:rsid w:val="003054D4"/>
    <w:rsid w:val="003079CD"/>
    <w:rsid w:val="00307E5F"/>
    <w:rsid w:val="00325CBC"/>
    <w:rsid w:val="00336A15"/>
    <w:rsid w:val="003920D0"/>
    <w:rsid w:val="0039466E"/>
    <w:rsid w:val="003E5709"/>
    <w:rsid w:val="003E79DB"/>
    <w:rsid w:val="0040646E"/>
    <w:rsid w:val="00410F0E"/>
    <w:rsid w:val="0045157C"/>
    <w:rsid w:val="0045220C"/>
    <w:rsid w:val="00455E75"/>
    <w:rsid w:val="00455F1A"/>
    <w:rsid w:val="00464A6B"/>
    <w:rsid w:val="004834EF"/>
    <w:rsid w:val="00483967"/>
    <w:rsid w:val="004A190C"/>
    <w:rsid w:val="004A19BD"/>
    <w:rsid w:val="004A4A6D"/>
    <w:rsid w:val="004B2C7B"/>
    <w:rsid w:val="004B6D0E"/>
    <w:rsid w:val="004B73EB"/>
    <w:rsid w:val="004C31C4"/>
    <w:rsid w:val="004E55A3"/>
    <w:rsid w:val="005055C8"/>
    <w:rsid w:val="0053331D"/>
    <w:rsid w:val="0055319E"/>
    <w:rsid w:val="005864E7"/>
    <w:rsid w:val="005D4F61"/>
    <w:rsid w:val="005D60CA"/>
    <w:rsid w:val="005E08FC"/>
    <w:rsid w:val="005E531F"/>
    <w:rsid w:val="00606851"/>
    <w:rsid w:val="00626F2E"/>
    <w:rsid w:val="006349AD"/>
    <w:rsid w:val="00635E22"/>
    <w:rsid w:val="00643023"/>
    <w:rsid w:val="006546A0"/>
    <w:rsid w:val="006567B8"/>
    <w:rsid w:val="00680263"/>
    <w:rsid w:val="00693B7E"/>
    <w:rsid w:val="006C2993"/>
    <w:rsid w:val="006D0BD0"/>
    <w:rsid w:val="00700E7B"/>
    <w:rsid w:val="007161DB"/>
    <w:rsid w:val="00725006"/>
    <w:rsid w:val="00754684"/>
    <w:rsid w:val="00780333"/>
    <w:rsid w:val="00785CDC"/>
    <w:rsid w:val="00787851"/>
    <w:rsid w:val="007C2316"/>
    <w:rsid w:val="007F0036"/>
    <w:rsid w:val="00835475"/>
    <w:rsid w:val="00835EB1"/>
    <w:rsid w:val="008442DA"/>
    <w:rsid w:val="00850473"/>
    <w:rsid w:val="0085568D"/>
    <w:rsid w:val="00867116"/>
    <w:rsid w:val="008C0BA5"/>
    <w:rsid w:val="00920A5C"/>
    <w:rsid w:val="00926635"/>
    <w:rsid w:val="00931C73"/>
    <w:rsid w:val="00935B37"/>
    <w:rsid w:val="00951948"/>
    <w:rsid w:val="00953BBB"/>
    <w:rsid w:val="009C19F4"/>
    <w:rsid w:val="009C6090"/>
    <w:rsid w:val="009D7411"/>
    <w:rsid w:val="009F7D9C"/>
    <w:rsid w:val="00A13DB4"/>
    <w:rsid w:val="00A468B5"/>
    <w:rsid w:val="00A623CE"/>
    <w:rsid w:val="00A76001"/>
    <w:rsid w:val="00A7630D"/>
    <w:rsid w:val="00A85005"/>
    <w:rsid w:val="00AA566D"/>
    <w:rsid w:val="00AB0E5F"/>
    <w:rsid w:val="00AC2D40"/>
    <w:rsid w:val="00AE4419"/>
    <w:rsid w:val="00AF6736"/>
    <w:rsid w:val="00B14C4D"/>
    <w:rsid w:val="00B2442A"/>
    <w:rsid w:val="00B30939"/>
    <w:rsid w:val="00BB7406"/>
    <w:rsid w:val="00BC422E"/>
    <w:rsid w:val="00BD1B9B"/>
    <w:rsid w:val="00C02274"/>
    <w:rsid w:val="00C127AD"/>
    <w:rsid w:val="00C604DC"/>
    <w:rsid w:val="00C632CC"/>
    <w:rsid w:val="00C67F7D"/>
    <w:rsid w:val="00CA6BDB"/>
    <w:rsid w:val="00CB1F44"/>
    <w:rsid w:val="00CC05FA"/>
    <w:rsid w:val="00CC1986"/>
    <w:rsid w:val="00CD1CBC"/>
    <w:rsid w:val="00CE6FEC"/>
    <w:rsid w:val="00D05E43"/>
    <w:rsid w:val="00D173B2"/>
    <w:rsid w:val="00D20E38"/>
    <w:rsid w:val="00D51C09"/>
    <w:rsid w:val="00D540FD"/>
    <w:rsid w:val="00D714BA"/>
    <w:rsid w:val="00D978A6"/>
    <w:rsid w:val="00DC3302"/>
    <w:rsid w:val="00DE32D1"/>
    <w:rsid w:val="00E10A8D"/>
    <w:rsid w:val="00E140A7"/>
    <w:rsid w:val="00E3160C"/>
    <w:rsid w:val="00E523ED"/>
    <w:rsid w:val="00E57D3D"/>
    <w:rsid w:val="00E623B3"/>
    <w:rsid w:val="00E76F61"/>
    <w:rsid w:val="00EA4E1F"/>
    <w:rsid w:val="00EC3247"/>
    <w:rsid w:val="00ED635A"/>
    <w:rsid w:val="00ED77BD"/>
    <w:rsid w:val="00EE11D5"/>
    <w:rsid w:val="00EE1483"/>
    <w:rsid w:val="00F053B4"/>
    <w:rsid w:val="00F304DE"/>
    <w:rsid w:val="00F379CB"/>
    <w:rsid w:val="00F7557B"/>
    <w:rsid w:val="00FB5522"/>
    <w:rsid w:val="00FB6BE9"/>
    <w:rsid w:val="00FC60D5"/>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6FBB"/>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E1F"/>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913</TotalTime>
  <Pages>1</Pages>
  <Words>5247</Words>
  <Characters>29912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106</cp:revision>
  <cp:lastPrinted>2026-09-08T04:21:00Z</cp:lastPrinted>
  <dcterms:created xsi:type="dcterms:W3CDTF">2026-07-02T08:05:00Z</dcterms:created>
  <dcterms:modified xsi:type="dcterms:W3CDTF">2026-09-12T10:10:00Z</dcterms:modified>
</cp:coreProperties>
</file>