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Automated Sentiment Annotation and Transformer Evaluation for Malaysian Code Mixed Social Media Text</w:t>
      </w:r>
    </w:p>
    <w:p>
      <w:pPr>
        <w:pStyle w:val="Heading1"/>
        <w:widowControl/>
      </w:pPr>
      <w:r>
        <w:t>Abstract</w:t>
      </w:r>
    </w:p>
    <w:p>
      <w:pPr>
        <w:widowControl/>
      </w:pPr>
      <w:r>
        <w:t>Sentiment analysis of Malaysian social media requires models that can interpret Malay-English language mixing, informal spelling, and context-dependent expressions. It also requires reliable sentiment labels, which are costly to produce through manual annotation alone. This narrative review examines how these two problems interact. It compares regional corpora, manual and automated annotation strategies, multilingual transformer encoders, generative large language models, and evaluation practices. The literature supports the use of contextual models and automated annotation, but it does not establish that larger models or majority voting consistently produce better labels. Class imbalance must also be distinguished from annotation error, while performance on other languages cannot be treated as direct evidence for Malaysian text. The review argues for a combined approach: preserve meaningful linguistic variation, validate automated labels through bilingual human assessment, and compare classifiers on an independent test set. Future research should test whether combining different model families improves annotation quality and downstream performance enough to justify its additional cost. Progress therefore depends on the joint design of corpus construction and evaluation, rather than model selection alone.</w:t>
      </w:r>
    </w:p>
    <w:p>
      <w:pPr>
        <w:widowControl/>
      </w:pPr>
      <w:r>
        <w:t>Keywords: sentiment analysis; Malay-English code-mixing; Malaysian social media; automated annotation; multilingual transformers; large language models</w:t>
      </w:r>
    </w:p>
    <w:p>
      <w:pPr>
        <w:pStyle w:val="Heading1"/>
        <w:widowControl/>
      </w:pPr>
      <w:r>
        <w:t>1 Introduction</w:t>
      </w:r>
    </w:p>
    <w:p>
      <w:pPr>
        <w:widowControl/>
      </w:pPr>
      <w:r>
        <w:t>Sentiment analysis identifies the opinion expressed in a text, commonly using positive, negative, and neutral categories. In Malaysian social media, this task often involves more than one language within the same message. A system may recognise an English sentiment word but miss a Malay negator, an abbreviation, or a locally meaningful expression. The difficulty is therefore not simply identifying the languages present. It is understanding how their words contribute to a single opinion.</w:t>
      </w:r>
    </w:p>
    <w:p>
      <w:pPr>
        <w:widowControl/>
      </w:pPr>
      <w:r>
        <w:t>Malay-English switching follows recurring linguistic patterns. Treffers-Daller et al. (2022) explain how structural similarities and bilingual communication strategies help account for the diversity of switching in this language pair. Their analysis also highlights switches involving function words. These findings caution against treating mixed language as an arbitrary collection of errors. For sentiment analysis, the relevant question is which aspects of this variation affect interpretation and how they should be represented.</w:t>
      </w:r>
    </w:p>
    <w:p>
      <w:pPr>
        <w:widowControl/>
      </w:pPr>
      <w:r>
        <w:t>A second challenge concerns supervision. Models need labelled examples that reflect the language they will encounter. Existing Malaysian resources offer different combinations of domain coverage, annotation methods, and language composition (Kasmuri &amp; Basiron, 2019; Kong et al., 2023; Mohd Shamsuddin et al., 2024; Romadhona et al., 2022). These differences affect what can reasonably be concluded from model comparisons. A stronger classifier cannot compensate for an evaluation set that contains unreliable labels or poorly represents the intended task.</w:t>
      </w:r>
    </w:p>
    <w:p>
      <w:pPr>
        <w:widowControl/>
      </w:pPr>
      <w:r>
        <w:t>This review examines the relationship between automated annotation and transformer evaluation for highly code-mixed Malaysian social media text. Its central argument is that corpus quality and predictive performance must be assessed together. The discussion moves from linguistic challenges to corpus construction, model capabilities, evaluation requirements, and research priorities.</w:t>
      </w:r>
    </w:p>
    <w:p>
      <w:pPr>
        <w:pStyle w:val="Heading1"/>
        <w:widowControl/>
      </w:pPr>
      <w:r>
        <w:t>2 Review scope and approach</w:t>
      </w:r>
    </w:p>
    <w:p>
      <w:pPr>
        <w:widowControl/>
      </w:pPr>
      <w:r>
        <w:t>This paper adopts a selective narrative review approach. It synthesises research on Malaysian language mixing, regional sentiment resources, automated annotation, contextual language models, and evaluation. Malaysian studies provide the direct evidence for the target setting. Work on other languages is used to examine possible methods and limitations, with its transferability treated as an open question.</w:t>
      </w:r>
    </w:p>
    <w:p>
      <w:pPr>
        <w:widowControl/>
      </w:pPr>
      <w:r>
        <w:t>The review focuses on post-level sentiment classification, particularly positive, negative, and neutral labels. Subjectivity resources are considered where they inform annotation practice, but identifying whether a sentence expresses an opinion is distinguished from identifying its polarity. Malay-English mixing is the main language setting; resources that include Chinese are discussed as related, broader settings.</w:t>
      </w:r>
    </w:p>
    <w:p>
      <w:pPr>
        <w:widowControl/>
      </w:pPr>
      <w:r>
        <w:t>Studies are compared by their purpose, data source, annotation procedure, model design, and evaluation conditions. Reported scores are not pooled because datasets and tasks differ. The review does not claim exhaustive coverage or a systematic search protocol. Its contribution is a critical synthesis of the methodological choices that determine whether automated labels and model comparisons are trustworthy.</w:t>
      </w:r>
    </w:p>
    <w:p>
      <w:pPr>
        <w:pStyle w:val="Heading1"/>
        <w:widowControl/>
      </w:pPr>
      <w:r>
        <w:t>3 Linguistic challenges and text preparation</w:t>
      </w:r>
    </w:p>
    <w:p>
      <w:pPr>
        <w:pStyle w:val="Heading2"/>
        <w:widowControl/>
      </w:pPr>
      <w:r>
        <w:t>3.1 Sentiment across language boundaries</w:t>
      </w:r>
    </w:p>
    <w:p>
      <w:pPr>
        <w:widowControl/>
      </w:pPr>
      <w:r>
        <w:t>Language switching can occur within a clause, so sentiment cannot always be determined from isolated words or monolingual text segments. Consider the constructed example, “Service dia memang good, but waiting time lama sangat.” The writer praises the service but criticises the waiting time. A post-level label depends on how the annotation guidelines handle multiple aspects and opposing opinions. Splitting the message by language would not resolve that decision.</w:t>
      </w:r>
    </w:p>
    <w:p>
      <w:pPr>
        <w:widowControl/>
      </w:pPr>
      <w:r>
        <w:t>Local particles and informal expressions also require context. Their presence should not be treated as a fixed positive or negative signal. Instead, annotators and models need to consider how they modify the surrounding statement. This distinction matters because a token can contribute to tone without having a stable sentiment value on its own. Preserving such tokens makes it possible to test their contribution rather than removing them in advance.</w:t>
      </w:r>
    </w:p>
    <w:p>
      <w:pPr>
        <w:widowControl/>
      </w:pPr>
      <w:r>
        <w:t>These examples connect the linguistic problem to annotation design. Before comparing models, a study must specify the sentiment target and how it handles mixed opinions, sarcasm, quoted speech, and statements with insufficient context. Otherwise, differences between labels may reflect different interpretations of the task rather than failures to understand code-mixing.</w:t>
      </w:r>
    </w:p>
    <w:p>
      <w:pPr>
        <w:pStyle w:val="Heading2"/>
        <w:widowControl/>
      </w:pPr>
      <w:r>
        <w:t>3.2 Informal spelling and selective normalisation</w:t>
      </w:r>
    </w:p>
    <w:p>
      <w:pPr>
        <w:widowControl/>
      </w:pPr>
      <w:r>
        <w:t>Maskat and Abdul Rahman (2020) identify five recurring forms of Malay social media variation: spelling variants, Malay-English mixed sentences, loan words or phrases, slang, and vowel-less words. Their normalisation experiments address spelling variants and vowel-less forms using similarity matching. The limited coverage of those methods shows why a single spelling correction procedure should not be assumed to handle all informal language.</w:t>
      </w:r>
    </w:p>
    <w:p>
      <w:pPr>
        <w:widowControl/>
      </w:pPr>
      <w:r>
        <w:t>Word-level features can distribute evidence across several spellings of the same expression. Subword tokenisation reduces dependence on complete-word vocabulary entries, but recognising the resulting pieces does not guarantee correct interpretation. Dividing an unfamiliar word into subwords is not itself a modelling failure. The relevant evidence is whether tokenisation and the learned representations support accurate predictions. Kong et al. (2023), for example, examine byte-pair encoding in a Malaysian sentiment setting, illustrating that vocabulary design can be evaluated empirically.</w:t>
      </w:r>
    </w:p>
    <w:p>
      <w:pPr>
        <w:widowControl/>
      </w:pPr>
      <w:r>
        <w:t>Normalisation should therefore be selective. Expanding an unambiguous abbreviation may help, while removing negation, repeated punctuation, or expressive spelling may change the evidence available for sentiment. A useful experiment would compare the original text with a lightly normalised version under the same training and evaluation conditions. Such a comparison would establish whether preprocessing improves the task, rather than assuming that more standard-looking text is necessarily better.</w:t>
      </w:r>
    </w:p>
    <w:p>
      <w:pPr>
        <w:pStyle w:val="Heading1"/>
        <w:widowControl/>
      </w:pPr>
      <w:r>
        <w:t>4 Regional corpora and annotation strategies</w:t>
      </w:r>
    </w:p>
    <w:p>
      <w:pPr>
        <w:pStyle w:val="Heading2"/>
        <w:widowControl/>
      </w:pPr>
      <w:r>
        <w:t>4.1 What existing resources provide</w:t>
      </w:r>
    </w:p>
    <w:p>
      <w:pPr>
        <w:widowControl/>
      </w:pPr>
      <w:r>
        <w:t>Regional corpora support different research questions. MY-EN-CS contains blog sentences annotated as opinionated or factual, with a reported kappa of 0.83 (Kasmuri &amp; Basiron, 2019). It provides useful evidence about subjectivity annotation, but its labels cannot be treated as equivalent to three-class sentiment polarity.</w:t>
      </w:r>
    </w:p>
    <w:p>
      <w:pPr>
        <w:widowControl/>
      </w:pPr>
      <w:r>
        <w:t>MyCovid-Senti includes 11,568 manually labelled tweets drawn from a larger Malaysian COVID-19 collection (Kong et al., 2023). Its value lies in human sentiment annotation within a defined event context. However, multilingual collection does not imply that every item is highly code-mixed. Generalisation to everyday discussion therefore requires evaluation beyond the pandemic domain.</w:t>
      </w:r>
    </w:p>
    <w:p>
      <w:pPr>
        <w:widowControl/>
      </w:pPr>
      <w:r>
        <w:t>MESocSentiment contains 19,714 Malay-English tweets labelled through a semi-automatic approach (Mohd Shamsuddin et al., 2024). The reported distribution is approximately 78.2% neutral, 16.3% positive, and 5.4% negative. This makes it relevant to scalable annotation and imbalanced classification, but the distribution alone does not establish whether individual labels are correct.</w:t>
      </w:r>
    </w:p>
    <w:p>
      <w:pPr>
        <w:widowControl/>
      </w:pPr>
      <w:r>
        <w:t>Romadhona et al. (2022) distinguish BRCC, an augmented corpus for language-model pretraining, from SentiBahasaRojak, a sentiment dataset covering product, movie, and stock reviews. They also introduce Mixed XLM and report a kappa of 0.77 for the sentiment dataset. Keeping these resources separate avoids confusing the scale of unlabelled pretraining data with the amount of sentiment supervision.</w:t>
      </w:r>
    </w:p>
    <w:p>
      <w:pPr>
        <w:pStyle w:val="Caption"/>
        <w:keepNext/>
        <w:widowControl/>
      </w:pPr>
      <w:r>
        <w:t>Table 1  Regional resources and their evaluation roles</w:t>
      </w:r>
    </w:p>
    <w:tbl>
      <w:tblPr>
        <w:tblW w:type="auto" w:w="0"/>
        <w:jc w:val="center"/>
        <w:tblLayout w:type="fixed"/>
        <w:tblLook w:firstColumn="1" w:firstRow="1" w:lastColumn="0" w:lastRow="0" w:noHBand="0" w:noVBand="1" w:val="04A0"/>
      </w:tblPr>
      <w:tblGrid>
        <w:gridCol w:w="2412"/>
        <w:gridCol w:w="2412"/>
        <w:gridCol w:w="2412"/>
        <w:gridCol w:w="2412"/>
      </w:tblGrid>
      <w:tr>
        <w:trPr>
          <w:cantSplit/>
          <w:tblHeader/>
        </w:trPr>
        <w:tc>
          <w:tcPr>
            <w:tcW w:type="dxa" w:w="2232"/>
            <w:vAlign w:val="center"/>
            <w:shd w:fill="E6E6E6"/>
            <w:tcMar>
              <w:top w:w="85" w:type="dxa"/>
              <w:left w:w="85" w:type="dxa"/>
              <w:bottom w:w="85" w:type="dxa"/>
              <w:right w:w="85" w:type="dxa"/>
            </w:tcMar>
          </w:tcPr>
          <w:p>
            <w:pPr>
              <w:spacing w:after="40" w:line="252" w:lineRule="auto"/>
            </w:pPr>
            <w:r>
              <w:rPr>
                <w:b/>
                <w:sz w:val="20"/>
              </w:rPr>
              <w:t>Resource</w:t>
            </w:r>
          </w:p>
        </w:tc>
        <w:tc>
          <w:tcPr>
            <w:tcW w:type="dxa" w:w="2808"/>
            <w:vAlign w:val="center"/>
            <w:shd w:fill="E6E6E6"/>
            <w:tcMar>
              <w:top w:w="85" w:type="dxa"/>
              <w:left w:w="85" w:type="dxa"/>
              <w:bottom w:w="85" w:type="dxa"/>
              <w:right w:w="85" w:type="dxa"/>
            </w:tcMar>
          </w:tcPr>
          <w:p>
            <w:pPr>
              <w:spacing w:after="40" w:line="252" w:lineRule="auto"/>
            </w:pPr>
            <w:r>
              <w:rPr>
                <w:b/>
                <w:sz w:val="20"/>
              </w:rPr>
              <w:t>Data and labels</w:t>
            </w:r>
          </w:p>
        </w:tc>
        <w:tc>
          <w:tcPr>
            <w:tcW w:type="dxa" w:w="1800"/>
            <w:vAlign w:val="center"/>
            <w:shd w:fill="E6E6E6"/>
            <w:tcMar>
              <w:top w:w="85" w:type="dxa"/>
              <w:left w:w="85" w:type="dxa"/>
              <w:bottom w:w="85" w:type="dxa"/>
              <w:right w:w="85" w:type="dxa"/>
            </w:tcMar>
          </w:tcPr>
          <w:p>
            <w:pPr>
              <w:spacing w:after="40" w:line="252" w:lineRule="auto"/>
            </w:pPr>
            <w:r>
              <w:rPr>
                <w:b/>
                <w:sz w:val="20"/>
              </w:rPr>
              <w:t>Main use</w:t>
            </w:r>
          </w:p>
        </w:tc>
        <w:tc>
          <w:tcPr>
            <w:tcW w:type="dxa" w:w="2808"/>
            <w:vAlign w:val="center"/>
            <w:shd w:fill="E6E6E6"/>
            <w:tcMar>
              <w:top w:w="85" w:type="dxa"/>
              <w:left w:w="85" w:type="dxa"/>
              <w:bottom w:w="85" w:type="dxa"/>
              <w:right w:w="85" w:type="dxa"/>
            </w:tcMar>
          </w:tcPr>
          <w:p>
            <w:pPr>
              <w:spacing w:after="40" w:line="252" w:lineRule="auto"/>
            </w:pPr>
            <w:r>
              <w:rPr>
                <w:b/>
                <w:sz w:val="20"/>
              </w:rPr>
              <w:t>Boundary of evidence</w:t>
            </w:r>
          </w:p>
        </w:tc>
      </w:tr>
      <w:tr>
        <w:trPr>
          <w:cantSplit/>
        </w:trPr>
        <w:tc>
          <w:tcPr>
            <w:tcW w:type="dxa" w:w="2232"/>
            <w:vAlign w:val="center"/>
            <w:shd w:fill="FFFFFF"/>
            <w:tcMar>
              <w:top w:w="85" w:type="dxa"/>
              <w:left w:w="85" w:type="dxa"/>
              <w:bottom w:w="85" w:type="dxa"/>
              <w:right w:w="85" w:type="dxa"/>
            </w:tcMar>
          </w:tcPr>
          <w:p>
            <w:pPr>
              <w:spacing w:after="40" w:line="252" w:lineRule="auto"/>
            </w:pPr>
            <w:r>
              <w:rPr>
                <w:b w:val="0"/>
                <w:sz w:val="20"/>
              </w:rPr>
              <w:t>MY-EN-CS</w:t>
              <w:br/>
              <w:t>Kasmuri and Basiron (2019)</w:t>
            </w:r>
          </w:p>
        </w:tc>
        <w:tc>
          <w:tcPr>
            <w:tcW w:type="dxa" w:w="2808"/>
            <w:vAlign w:val="center"/>
            <w:shd w:fill="FFFFFF"/>
            <w:tcMar>
              <w:top w:w="85" w:type="dxa"/>
              <w:left w:w="85" w:type="dxa"/>
              <w:bottom w:w="85" w:type="dxa"/>
              <w:right w:w="85" w:type="dxa"/>
            </w:tcMar>
          </w:tcPr>
          <w:p>
            <w:pPr>
              <w:spacing w:after="40" w:line="252" w:lineRule="auto"/>
            </w:pPr>
            <w:r>
              <w:rPr>
                <w:b w:val="0"/>
                <w:sz w:val="20"/>
              </w:rPr>
              <w:t>Blog sentences; opinionated or factual</w:t>
            </w:r>
          </w:p>
        </w:tc>
        <w:tc>
          <w:tcPr>
            <w:tcW w:type="dxa" w:w="1800"/>
            <w:vAlign w:val="center"/>
            <w:shd w:fill="FFFFFF"/>
            <w:tcMar>
              <w:top w:w="85" w:type="dxa"/>
              <w:left w:w="85" w:type="dxa"/>
              <w:bottom w:w="85" w:type="dxa"/>
              <w:right w:w="85" w:type="dxa"/>
            </w:tcMar>
          </w:tcPr>
          <w:p>
            <w:pPr>
              <w:spacing w:after="40" w:line="252" w:lineRule="auto"/>
            </w:pPr>
            <w:r>
              <w:rPr>
                <w:b w:val="0"/>
                <w:sz w:val="20"/>
              </w:rPr>
              <w:t>Subjectivity annotation</w:t>
            </w:r>
          </w:p>
        </w:tc>
        <w:tc>
          <w:tcPr>
            <w:tcW w:type="dxa" w:w="2808"/>
            <w:vAlign w:val="center"/>
            <w:shd w:fill="FFFFFF"/>
            <w:tcMar>
              <w:top w:w="85" w:type="dxa"/>
              <w:left w:w="85" w:type="dxa"/>
              <w:bottom w:w="85" w:type="dxa"/>
              <w:right w:w="85" w:type="dxa"/>
            </w:tcMar>
          </w:tcPr>
          <w:p>
            <w:pPr>
              <w:spacing w:after="40" w:line="252" w:lineRule="auto"/>
            </w:pPr>
            <w:r>
              <w:rPr>
                <w:b w:val="0"/>
                <w:sz w:val="20"/>
              </w:rPr>
              <w:t>Not a three-class polarity benchmark</w:t>
            </w:r>
          </w:p>
        </w:tc>
      </w:tr>
      <w:tr>
        <w:trPr>
          <w:cantSplit/>
        </w:trPr>
        <w:tc>
          <w:tcPr>
            <w:tcW w:type="dxa" w:w="2232"/>
            <w:vAlign w:val="center"/>
            <w:shd w:fill="F5F5F5"/>
            <w:tcMar>
              <w:top w:w="85" w:type="dxa"/>
              <w:left w:w="85" w:type="dxa"/>
              <w:bottom w:w="85" w:type="dxa"/>
              <w:right w:w="85" w:type="dxa"/>
            </w:tcMar>
          </w:tcPr>
          <w:p>
            <w:pPr>
              <w:spacing w:after="40" w:line="252" w:lineRule="auto"/>
            </w:pPr>
            <w:r>
              <w:rPr>
                <w:b w:val="0"/>
                <w:sz w:val="20"/>
              </w:rPr>
              <w:t>MyCovid-Senti</w:t>
              <w:br/>
              <w:t>Kong et al. (2023)</w:t>
            </w:r>
          </w:p>
        </w:tc>
        <w:tc>
          <w:tcPr>
            <w:tcW w:type="dxa" w:w="2808"/>
            <w:vAlign w:val="center"/>
            <w:shd w:fill="F5F5F5"/>
            <w:tcMar>
              <w:top w:w="85" w:type="dxa"/>
              <w:left w:w="85" w:type="dxa"/>
              <w:bottom w:w="85" w:type="dxa"/>
              <w:right w:w="85" w:type="dxa"/>
            </w:tcMar>
          </w:tcPr>
          <w:p>
            <w:pPr>
              <w:spacing w:after="40" w:line="252" w:lineRule="auto"/>
            </w:pPr>
            <w:r>
              <w:rPr>
                <w:b w:val="0"/>
                <w:sz w:val="20"/>
              </w:rPr>
              <w:t>11,568 manually labelled tweets; three sentiment classes</w:t>
            </w:r>
          </w:p>
        </w:tc>
        <w:tc>
          <w:tcPr>
            <w:tcW w:type="dxa" w:w="1800"/>
            <w:vAlign w:val="center"/>
            <w:shd w:fill="F5F5F5"/>
            <w:tcMar>
              <w:top w:w="85" w:type="dxa"/>
              <w:left w:w="85" w:type="dxa"/>
              <w:bottom w:w="85" w:type="dxa"/>
              <w:right w:w="85" w:type="dxa"/>
            </w:tcMar>
          </w:tcPr>
          <w:p>
            <w:pPr>
              <w:spacing w:after="40" w:line="252" w:lineRule="auto"/>
            </w:pPr>
            <w:r>
              <w:rPr>
                <w:b w:val="0"/>
                <w:sz w:val="20"/>
              </w:rPr>
              <w:t>Pandemic sentiment</w:t>
            </w:r>
          </w:p>
        </w:tc>
        <w:tc>
          <w:tcPr>
            <w:tcW w:type="dxa" w:w="2808"/>
            <w:vAlign w:val="center"/>
            <w:shd w:fill="F5F5F5"/>
            <w:tcMar>
              <w:top w:w="85" w:type="dxa"/>
              <w:left w:w="85" w:type="dxa"/>
              <w:bottom w:w="85" w:type="dxa"/>
              <w:right w:w="85" w:type="dxa"/>
            </w:tcMar>
          </w:tcPr>
          <w:p>
            <w:pPr>
              <w:spacing w:after="40" w:line="252" w:lineRule="auto"/>
            </w:pPr>
            <w:r>
              <w:rPr>
                <w:b w:val="0"/>
                <w:sz w:val="20"/>
              </w:rPr>
              <w:t>Event-specific; not every item necessarily code-mixed</w:t>
            </w:r>
          </w:p>
        </w:tc>
      </w:tr>
      <w:tr>
        <w:trPr>
          <w:cantSplit/>
        </w:trPr>
        <w:tc>
          <w:tcPr>
            <w:tcW w:type="dxa" w:w="2232"/>
            <w:vAlign w:val="center"/>
            <w:shd w:fill="FFFFFF"/>
            <w:tcMar>
              <w:top w:w="85" w:type="dxa"/>
              <w:left w:w="85" w:type="dxa"/>
              <w:bottom w:w="85" w:type="dxa"/>
              <w:right w:w="85" w:type="dxa"/>
            </w:tcMar>
          </w:tcPr>
          <w:p>
            <w:pPr>
              <w:spacing w:after="40" w:line="252" w:lineRule="auto"/>
            </w:pPr>
            <w:r>
              <w:rPr>
                <w:b w:val="0"/>
                <w:sz w:val="20"/>
              </w:rPr>
              <w:t>MESocSentiment</w:t>
              <w:br/>
              <w:t>Mohd Shamsuddin et al. (2024)</w:t>
            </w:r>
          </w:p>
        </w:tc>
        <w:tc>
          <w:tcPr>
            <w:tcW w:type="dxa" w:w="2808"/>
            <w:vAlign w:val="center"/>
            <w:shd w:fill="FFFFFF"/>
            <w:tcMar>
              <w:top w:w="85" w:type="dxa"/>
              <w:left w:w="85" w:type="dxa"/>
              <w:bottom w:w="85" w:type="dxa"/>
              <w:right w:w="85" w:type="dxa"/>
            </w:tcMar>
          </w:tcPr>
          <w:p>
            <w:pPr>
              <w:spacing w:after="40" w:line="252" w:lineRule="auto"/>
            </w:pPr>
            <w:r>
              <w:rPr>
                <w:b w:val="0"/>
                <w:sz w:val="20"/>
              </w:rPr>
              <w:t>19,714 tweets; semi-automatic sentiment labels</w:t>
            </w:r>
          </w:p>
        </w:tc>
        <w:tc>
          <w:tcPr>
            <w:tcW w:type="dxa" w:w="1800"/>
            <w:vAlign w:val="center"/>
            <w:shd w:fill="FFFFFF"/>
            <w:tcMar>
              <w:top w:w="85" w:type="dxa"/>
              <w:left w:w="85" w:type="dxa"/>
              <w:bottom w:w="85" w:type="dxa"/>
              <w:right w:w="85" w:type="dxa"/>
            </w:tcMar>
          </w:tcPr>
          <w:p>
            <w:pPr>
              <w:spacing w:after="40" w:line="252" w:lineRule="auto"/>
            </w:pPr>
            <w:r>
              <w:rPr>
                <w:b w:val="0"/>
                <w:sz w:val="20"/>
              </w:rPr>
              <w:t>Scalable annotation</w:t>
            </w:r>
          </w:p>
        </w:tc>
        <w:tc>
          <w:tcPr>
            <w:tcW w:type="dxa" w:w="2808"/>
            <w:vAlign w:val="center"/>
            <w:shd w:fill="FFFFFF"/>
            <w:tcMar>
              <w:top w:w="85" w:type="dxa"/>
              <w:left w:w="85" w:type="dxa"/>
              <w:bottom w:w="85" w:type="dxa"/>
              <w:right w:w="85" w:type="dxa"/>
            </w:tcMar>
          </w:tcPr>
          <w:p>
            <w:pPr>
              <w:spacing w:after="40" w:line="252" w:lineRule="auto"/>
            </w:pPr>
            <w:r>
              <w:rPr>
                <w:b w:val="0"/>
                <w:sz w:val="20"/>
              </w:rPr>
              <w:t>Imbalance and label validity need separate assessment</w:t>
            </w:r>
          </w:p>
        </w:tc>
      </w:tr>
      <w:tr>
        <w:trPr>
          <w:cantSplit/>
        </w:trPr>
        <w:tc>
          <w:tcPr>
            <w:tcW w:type="dxa" w:w="2232"/>
            <w:vAlign w:val="center"/>
            <w:shd w:fill="F5F5F5"/>
            <w:tcMar>
              <w:top w:w="85" w:type="dxa"/>
              <w:left w:w="85" w:type="dxa"/>
              <w:bottom w:w="85" w:type="dxa"/>
              <w:right w:w="85" w:type="dxa"/>
            </w:tcMar>
          </w:tcPr>
          <w:p>
            <w:pPr>
              <w:spacing w:after="40" w:line="252" w:lineRule="auto"/>
            </w:pPr>
            <w:r>
              <w:rPr>
                <w:b w:val="0"/>
                <w:sz w:val="20"/>
              </w:rPr>
              <w:t>SentiBahasaRojak</w:t>
              <w:br/>
              <w:t>Romadhona et al. (2022)</w:t>
            </w:r>
          </w:p>
        </w:tc>
        <w:tc>
          <w:tcPr>
            <w:tcW w:type="dxa" w:w="2808"/>
            <w:vAlign w:val="center"/>
            <w:shd w:fill="F5F5F5"/>
            <w:tcMar>
              <w:top w:w="85" w:type="dxa"/>
              <w:left w:w="85" w:type="dxa"/>
              <w:bottom w:w="85" w:type="dxa"/>
              <w:right w:w="85" w:type="dxa"/>
            </w:tcMar>
          </w:tcPr>
          <w:p>
            <w:pPr>
              <w:spacing w:after="40" w:line="252" w:lineRule="auto"/>
            </w:pPr>
            <w:r>
              <w:rPr>
                <w:b w:val="0"/>
                <w:sz w:val="20"/>
              </w:rPr>
              <w:t>Product, movie and stock reviews; sentiment labels</w:t>
            </w:r>
          </w:p>
        </w:tc>
        <w:tc>
          <w:tcPr>
            <w:tcW w:type="dxa" w:w="1800"/>
            <w:vAlign w:val="center"/>
            <w:shd w:fill="F5F5F5"/>
            <w:tcMar>
              <w:top w:w="85" w:type="dxa"/>
              <w:left w:w="85" w:type="dxa"/>
              <w:bottom w:w="85" w:type="dxa"/>
              <w:right w:w="85" w:type="dxa"/>
            </w:tcMar>
          </w:tcPr>
          <w:p>
            <w:pPr>
              <w:spacing w:after="40" w:line="252" w:lineRule="auto"/>
            </w:pPr>
            <w:r>
              <w:rPr>
                <w:b w:val="0"/>
                <w:sz w:val="20"/>
              </w:rPr>
              <w:t>Bahasa Rojak sentiment</w:t>
            </w:r>
          </w:p>
        </w:tc>
        <w:tc>
          <w:tcPr>
            <w:tcW w:type="dxa" w:w="2808"/>
            <w:vAlign w:val="center"/>
            <w:shd w:fill="F5F5F5"/>
            <w:tcMar>
              <w:top w:w="85" w:type="dxa"/>
              <w:left w:w="85" w:type="dxa"/>
              <w:bottom w:w="85" w:type="dxa"/>
              <w:right w:w="85" w:type="dxa"/>
            </w:tcMar>
          </w:tcPr>
          <w:p>
            <w:pPr>
              <w:spacing w:after="40" w:line="252" w:lineRule="auto"/>
            </w:pPr>
            <w:r>
              <w:rPr>
                <w:b w:val="0"/>
                <w:sz w:val="20"/>
              </w:rPr>
              <w:t>Distinct from the BRCC pretraining corpus</w:t>
            </w:r>
          </w:p>
        </w:tc>
      </w:tr>
    </w:tbl>
    <w:p>
      <w:pPr>
        <w:widowControl/>
      </w:pPr>
    </w:p>
    <w:p>
      <w:pPr>
        <w:widowControl/>
      </w:pPr>
      <w:r>
        <w:t>These resources should be judged against their intended purposes. A domain-specific corpus can support a useful benchmark without representing all Malaysian discourse. Similarly, a balanced sample may aid class comparison without reflecting natural sentiment prevalence. The practical gap is therefore a need for broader, independently validated evidence on highly code-mixed everyday text, rather than a blanket conclusion that existing resources are inadequate.</w:t>
      </w:r>
    </w:p>
    <w:p>
      <w:pPr>
        <w:pStyle w:val="Heading2"/>
        <w:widowControl/>
      </w:pPr>
      <w:r>
        <w:t>4.2 Manual and model-assisted annotation</w:t>
      </w:r>
    </w:p>
    <w:p>
      <w:pPr>
        <w:widowControl/>
      </w:pPr>
      <w:r>
        <w:t>Manual annotation allows bilingual readers to interpret local expressions and discuss ambiguous cases. Its reliability nevertheless depends on clear guidelines, annotator preparation, and independent labelling before adjudication. Human involvement is a quality-control process, not an automatic guarantee of a correct label. Where the text supports several interpretations, preserving the disagreement may be more informative than concealing it behind a final category.</w:t>
      </w:r>
    </w:p>
    <w:p>
      <w:pPr>
        <w:widowControl/>
      </w:pPr>
      <w:r>
        <w:t>Model-assisted annotation can reduce the amount of text that humans must label from scratch. The key design choice is how machine outputs are checked. Reviewing only a small convenience sample offers little evidence about errors in rare classes or difficult linguistic cases. A stronger design samples across predicted classes and mixing levels, and deliberately examines cases where models disagree. It should also audit some cases where all models agree, since consensus can still be wrong.</w:t>
      </w:r>
    </w:p>
    <w:p>
      <w:pPr>
        <w:widowControl/>
      </w:pPr>
      <w:r>
        <w:t>Generative models provide another way to propose labels. Gilardi et al. (2023) found that ChatGPT outperformed crowd workers on the text-annotation tasks they examined. This supports investigating LLM-assisted annotation, but it does not establish superiority over expert bilingual annotators or reliable performance on Malaysian code-mixed text. The relevant comparison must be made using the target language variety and the same annotation guidelines.</w:t>
      </w:r>
    </w:p>
    <w:p>
      <w:pPr>
        <w:pStyle w:val="Heading2"/>
        <w:widowControl/>
      </w:pPr>
      <w:r>
        <w:t>4.3 Neutral labels and model agreement</w:t>
      </w:r>
    </w:p>
    <w:p>
      <w:pPr>
        <w:widowControl/>
      </w:pPr>
      <w:r>
        <w:t>A neutral majority can arise from the sampled topic, collection keywords, label definitions, or annotation errors. These explanations must be separated. An English-oriented lexicon may miss sentiment expressed through unfamiliar Malay forms, but identifying this mechanism requires checking the affected posts. Relabelling data merely to create equal class counts would replace one possible bias with another.</w:t>
      </w:r>
    </w:p>
    <w:p>
      <w:pPr>
        <w:widowControl/>
      </w:pPr>
      <w:r>
        <w:t>The MESocSentiment approach combines VADER, TextBlob, and pysentimiento (Mohd Shamsuddin et al., 2024). The ensemble includes rule-based, lexicon-based, and transformer-based methods. Architectural variety, however, does not by itself establish that the tools make independent errors or understand the target language equally well.</w:t>
      </w:r>
    </w:p>
    <w:p>
      <w:pPr>
        <w:widowControl/>
      </w:pPr>
      <w:r>
        <w:t>Majority voting produces a decision when enough models agree, but it does not establish that the decision is correct. With three sentiment classes and three voters, a one-to-one-to-one split remains possible. Repeated sampling from one LLM addresses a different issue. Niimi (2024) reports that majority voting across repeated attempts improves robustness in a restaurant-review setting, but this does not demonstrate independent knowledge across model families or effectiveness on Malaysian code-mixing.</w:t>
      </w:r>
    </w:p>
    <w:p>
      <w:pPr>
        <w:widowControl/>
      </w:pPr>
      <w:r>
        <w:t>A defensible consensus procedure should define what happens to ties, uncertain outputs, and unresolved cases. Human adjudication can preserve difficult examples that would otherwise be discarded. It can also reveal recurring weaknesses in the guidelines. The benefit of consensus should then be measured against individual annotators and simpler combinations, including the additional human and computational effort required.</w:t>
      </w:r>
    </w:p>
    <w:p>
      <w:pPr>
        <w:pStyle w:val="Heading1"/>
        <w:widowControl/>
      </w:pPr>
      <w:r>
        <w:t>5 Model capabilities and their limits</w:t>
      </w:r>
    </w:p>
    <w:p>
      <w:pPr>
        <w:pStyle w:val="Heading2"/>
        <w:widowControl/>
      </w:pPr>
      <w:r>
        <w:t>5.1 Classical classifiers and contextual encoders</w:t>
      </w:r>
    </w:p>
    <w:p>
      <w:pPr>
        <w:widowControl/>
      </w:pPr>
      <w:r>
        <w:t>Classical classifiers remain useful comparison points. A support vector machine or Naïve Bayes model with word or character features can establish whether a more complex model offers a meaningful gain. Word-frequency features have limited access to word order, although n-grams can capture some local patterns. Character features may also help with spelling variation. These methods should therefore be evaluated rather than dismissed as incapable of processing code-mixed text.</w:t>
      </w:r>
    </w:p>
    <w:p>
      <w:pPr>
        <w:widowControl/>
      </w:pPr>
      <w:r>
        <w:t>BERT introduced deep bidirectional contextual representations, allowing a token's representation to depend on surrounding text (Devlin et al., 2019). For sentiment classification, this provides a mechanism for learning interactions involving negation and context. These encoders learn contextual patterns, although their ability to handle unfamiliar examples depends on their training data and task adaptation.</w:t>
      </w:r>
    </w:p>
    <w:p>
      <w:pPr>
        <w:widowControl/>
      </w:pPr>
      <w:r>
        <w:t>Multilingual encoders extend this approach across languages. XLM-R was pretrained on 100 languages and demonstrated strong cross-lingual results (Conneau et al., 2020). The study also examines the trade-off between positive transfer and model capacity shared across languages. Its findings support XLM-R as a candidate, but they do not establish its ranking on highly code-mixed Malaysian sentiment data.</w:t>
      </w:r>
    </w:p>
    <w:p>
      <w:pPr>
        <w:widowControl/>
      </w:pPr>
      <w:r>
        <w:t>Regional adaptation offers a more targeted response. Mixed XLM incorporates token-level language information and pretraining on BRCC (Romadhona et al., 2022). This supports examining whether exposure to mixed-language patterns helps. It does not imply that domain adaptation always succeeds or that every multilingual model benefits equally. Comparisons should isolate the effects of the base model, adaptation data, and sentiment fine-tuning.</w:t>
      </w:r>
    </w:p>
    <w:p>
      <w:pPr>
        <w:pStyle w:val="Heading2"/>
        <w:widowControl/>
      </w:pPr>
      <w:r>
        <w:t>5.2 Generative models as annotators and classifiers</w:t>
      </w:r>
    </w:p>
    <w:p>
      <w:pPr>
        <w:widowControl/>
      </w:pPr>
      <w:r>
        <w:t>Generative LLMs can assign sentiment from instructions and examples without task-specific parameter updates. This flexibility is useful when labelled data are limited or the annotation rules need revision. However, producing a fluent explanation does not establish that the underlying label is correct. Label validity, output consistency, and agreement with human judgements remain separate evaluation questions.</w:t>
      </w:r>
    </w:p>
    <w:p>
      <w:pPr>
        <w:widowControl/>
      </w:pPr>
      <w:r>
        <w:t>Evidence from low-resource settings also requires careful interpretation. Jadhav et al. (2025) compare LLMs with fine-tuned BERT models across Marathi classification tasks. Their aggregate results favour fine-tuned BERT, but the sentiment results are more nuanced: few-shot GPT-4o reaches 0.82 accuracy on MahaSent, compared with 0.80 for the BERT baseline. Their reported average gaps therefore should not be presented as a universal sentiment disadvantage, nor transferred directly to Malay-English text.</w:t>
      </w:r>
    </w:p>
    <w:p>
      <w:pPr>
        <w:widowControl/>
      </w:pPr>
      <w:r>
        <w:t>The appropriate conclusion is that performance depends on the task, language coverage, prompt, and model configuration. Encoders and generative LLMs may make different errors, which makes a combined annotation approach worth testing. Complementarity is a hypothesis, however, not a consequence that follows automatically from using different architectures.</w:t>
      </w:r>
    </w:p>
    <w:p>
      <w:pPr>
        <w:pStyle w:val="Heading1"/>
        <w:widowControl/>
      </w:pPr>
      <w:r>
        <w:t>6 Evaluation that separates labels from predictions</w:t>
      </w:r>
    </w:p>
    <w:p>
      <w:pPr>
        <w:pStyle w:val="Heading2"/>
        <w:widowControl/>
      </w:pPr>
      <w:r>
        <w:t>6.1 Annotation quality and classification performance</w:t>
      </w:r>
    </w:p>
    <w:p>
      <w:pPr>
        <w:widowControl/>
      </w:pPr>
      <w:r>
        <w:t>Annotation evaluation asks whether the assigned labels are reliable. Classification evaluation asks how well a trained system predicts an independent reference. These questions overlap, but they should not be collapsed into a single score. A model can reproduce automated labels accurately while inheriting their errors.</w:t>
      </w:r>
    </w:p>
    <w:p>
      <w:pPr>
        <w:widowControl/>
      </w:pPr>
      <w:r>
        <w:t>Cohen's kappa measures agreement between two raters while accounting for agreement expected under its chance model (Cohen, 1960). It is useful for comparing two human annotators or an automated annotator with a human reference. However, class prevalence affects its interpretation. Feinstein and Cicchetti (1990) show how high observed agreement can coexist with a low kappa. Reporting raw agreement and label distributions alongside kappa therefore makes the result easier to assess.</w:t>
      </w:r>
    </w:p>
    <w:p>
      <w:pPr>
        <w:widowControl/>
      </w:pPr>
      <w:r>
        <w:t>When independently adjudicated reference labels are available, precision, recall, and F1 can also evaluate an automated annotator. These measures assess label correctness against a reference, while inter-rater agreement assesses consistency between raters. A useful report distinguishes agreement before adjudication from performance against the final reference.</w:t>
      </w:r>
    </w:p>
    <w:p>
      <w:pPr>
        <w:widowControl/>
      </w:pPr>
      <w:r>
        <w:t>For classification, macro-F1 gives equal weight to each class by averaging their individual F1 scores. It should be accompanied by per-class precision, recall, support, and a confusion matrix, since no single average reveals every failure pattern (Sokolova &amp; Lapalme, 2009). As a constructed illustration, a dataset with 80% neutral examples allows an always-neutral classifier to achieve 80% accuracy despite detecting neither positive nor negative sentiment. Accuracy is still informative, but it is insufficient alone.</w:t>
      </w:r>
    </w:p>
    <w:p>
      <w:pPr>
        <w:pStyle w:val="Heading2"/>
        <w:widowControl/>
      </w:pPr>
      <w:r>
        <w:t>6.2 Independent and informative benchmarks</w:t>
      </w:r>
    </w:p>
    <w:p>
      <w:pPr>
        <w:widowControl/>
      </w:pPr>
      <w:r>
        <w:t>The test set should be labelled independently of the models being evaluated. If an encoder helps create training labels, evaluating that encoder against its own unreviewed test labels risks rewarding self-consistency. Human annotators should preferably make their initial test-set decisions without seeing machine predictions, then adjudicate disagreements under documented guidelines.</w:t>
      </w:r>
    </w:p>
    <w:p>
      <w:pPr>
        <w:widowControl/>
      </w:pPr>
      <w:r>
        <w:t>Dataset separation also requires attention to duplicate posts, reposts, and near-identical messages. Closely related items across training and test partitions can make memorisation appear to be generalisation. Where the data permit, evaluation across topics or time periods can provide a more demanding assessment of transfer to unfamiliar discussion.</w:t>
      </w:r>
    </w:p>
    <w:p>
      <w:pPr>
        <w:widowControl/>
      </w:pPr>
      <w:r>
        <w:t>The phrase “highly code-mixed” also needs an operational definition. Studies should report how they identify mixed-language posts and distinguish light from dense mixing. Performance can then be examined by mixing level, spelling variation, negation, and other relevant features. A broad multilingual test set may otherwise conceal weaknesses in the subset that motivated the study.</w:t>
      </w:r>
    </w:p>
    <w:p>
      <w:pPr>
        <w:widowControl/>
      </w:pPr>
      <w:r>
        <w:t>Finally, monolingual and multilingual baselines should receive comparable training data and tuning opportunities. Model versions, preprocessing, training settings, random seeds, and LLM prompts should be recorded. Repeated runs or confidence intervals can help distinguish stable improvements from small fluctuations. These controls make a performance difference more interpretable and reproducible.</w:t>
      </w:r>
    </w:p>
    <w:p>
      <w:pPr>
        <w:pStyle w:val="Heading1"/>
        <w:widowControl/>
      </w:pPr>
      <w:r>
        <w:t>7 Research gaps and future directions</w:t>
      </w:r>
    </w:p>
    <w:p>
      <w:pPr>
        <w:widowControl/>
      </w:pPr>
      <w:r>
        <w:t>Three priorities follow from the review. First, corpus development should improve coverage while making annotation quality visible. Useful resources need authentic examples from varied topics, explicit mixing criteria, transparent label definitions, and documented human validation. Broader coverage should complement existing domain-specific datasets rather than erase the distinctions between them.</w:t>
      </w:r>
    </w:p>
    <w:p>
      <w:pPr>
        <w:widowControl/>
      </w:pPr>
      <w:r>
        <w:t>Second, hybrid annotation needs direct empirical testing. A regionally adapted encoder and a generative LLM could provide candidate labels, with disagreements referred for adjudication. The role of each voter and the procedure for resolving ties should be specified before evaluation. Experiments should compare each component, the combined system, and the human review stage. This would establish whether added complexity improves label quality, preserves difficult examples, or merely increases cost.</w:t>
      </w:r>
    </w:p>
    <w:p>
      <w:pPr>
        <w:widowControl/>
      </w:pPr>
      <w:r>
        <w:t>Third, classifier benchmarking should separate the effect of architecture from the effect of supervision. Comparing the same classifiers under manual and automated training labels would help determine whether gains come from cleaner data, model choice, or both. A shared, independently annotated test set is essential to this comparison. Reporting performance by class and mixing level would show where each approach succeeds and where further work is needed.</w:t>
      </w:r>
    </w:p>
    <w:p>
      <w:pPr>
        <w:widowControl/>
      </w:pPr>
      <w:r>
        <w:t>Together, these priorities define a need for controlled evidence linking annotation quality, linguistic coverage, and downstream performance in the same highly code-mixed setting. Such evidence would clarify which improvements transfer across domains and which depend on a particular dataset.</w:t>
      </w:r>
    </w:p>
    <w:p>
      <w:pPr>
        <w:pStyle w:val="Heading1"/>
        <w:widowControl/>
      </w:pPr>
      <w:r>
        <w:t>8 Conclusion</w:t>
      </w:r>
    </w:p>
    <w:p>
      <w:pPr>
        <w:widowControl/>
      </w:pPr>
      <w:r>
        <w:t>Sentiment analysis of Malaysian code-mixed social media requires both context-sensitive modelling and dependable supervision. Existing corpora and model families provide useful foundations, but their strengths depend on the language, domain, label scheme, and evaluation conditions. Neutral-label prevalence is not equivalent to annotation error, model agreement is not equivalent to correctness, and results from another language do not establish performance in Malaysia.</w:t>
      </w:r>
    </w:p>
    <w:p>
      <w:pPr>
        <w:widowControl/>
      </w:pPr>
      <w:r>
        <w:t>The most useful direction is to evaluate corpus construction and classification as connected stages. Selective preprocessing, bilingual human validation, explicit disagreement handling, and independent benchmarks can show whether automated annotation provides a practical improvement. Hybrid encoder-LLM approaches are promising candidates for this evaluation, but their value must be demonstrated through controlled comparisons. This would support more credible conclusions about which methods work, for which kinds of Malaysian text, and at what cost.</w:t>
      </w:r>
    </w:p>
    <w:p>
      <w:pPr>
        <w:pStyle w:val="Heading1"/>
        <w:widowControl/>
      </w:pPr>
      <w:r>
        <w:t>References</w:t>
      </w:r>
    </w:p>
    <w:p>
      <w:pPr>
        <w:keepLines/>
        <w:widowControl/>
        <w:spacing w:after="140"/>
        <w:ind w:left="360" w:hanging="360"/>
      </w:pPr>
      <w:r>
        <w:rPr>
          <w:sz w:val="20"/>
        </w:rPr>
        <w:t xml:space="preserve">Cohen, J. (1960). A coefficient of agreement for nominal scales. </w:t>
      </w:r>
      <w:r>
        <w:rPr>
          <w:i/>
          <w:sz w:val="20"/>
        </w:rPr>
        <w:t>Educational and Psychological Measurement</w:t>
      </w:r>
      <w:r>
        <w:rPr>
          <w:sz w:val="20"/>
        </w:rPr>
        <w:t>, 20(1), 37–46. https://doi.org/10.1177/001316446002000104</w:t>
      </w:r>
    </w:p>
    <w:p>
      <w:pPr>
        <w:keepLines/>
        <w:widowControl/>
        <w:spacing w:after="140"/>
        <w:ind w:left="360" w:hanging="360"/>
      </w:pPr>
      <w:r>
        <w:rPr>
          <w:sz w:val="20"/>
        </w:rPr>
        <w:t>Conneau, A., Khandelwal, K., Goyal, N., Chaudhary, V., Wenzek, G., Guzmán, F., Grave, E., Ott, M., Zettlemoyer, L., &amp; Stoyanov, V. (2020). Unsupervised cross-lingual representation learning at scale. In Proceedings of the 58th Annual Meeting of the Association for Computational Linguistics (pp. 8440–8451). Association for Computational Linguistics. https://doi.org/10.18653/v1/2020.acl-main.747</w:t>
      </w:r>
    </w:p>
    <w:p>
      <w:pPr>
        <w:keepLines/>
        <w:widowControl/>
        <w:spacing w:after="140"/>
        <w:ind w:left="360" w:hanging="360"/>
      </w:pPr>
      <w:r>
        <w:rPr>
          <w:sz w:val="20"/>
        </w:rPr>
        <w:t>Devlin, J., Chang, M.-W., Lee, K., &amp; Toutanova, K. (2019). BERT: Pre-training of deep bidirectional transformers for language understanding. In Proceedings of the 2019 Conference of the North American Chapter of the Association for Computational Linguistics: Human Language Technologies, Volume 1 (Long and Short Papers) (pp. 4171–4186). Association for Computational Linguistics. https://doi.org/10.18653/v1/N19-1423</w:t>
      </w:r>
    </w:p>
    <w:p>
      <w:pPr>
        <w:keepLines/>
        <w:widowControl/>
        <w:spacing w:after="140"/>
        <w:ind w:left="360" w:hanging="360"/>
      </w:pPr>
      <w:r>
        <w:rPr>
          <w:sz w:val="20"/>
        </w:rPr>
        <w:t xml:space="preserve">Feinstein, A. R., &amp; Cicchetti, D. V. (1990). High agreement but low kappa: I. The problems of two paradoxes. </w:t>
      </w:r>
      <w:r>
        <w:rPr>
          <w:i/>
          <w:sz w:val="20"/>
        </w:rPr>
        <w:t>Journal of Clinical Epidemiology</w:t>
      </w:r>
      <w:r>
        <w:rPr>
          <w:sz w:val="20"/>
        </w:rPr>
        <w:t>, 43(6), 543–549. https://doi.org/10.1016/0895-4356(90)90158-L</w:t>
      </w:r>
    </w:p>
    <w:p>
      <w:pPr>
        <w:keepLines/>
        <w:widowControl/>
        <w:spacing w:after="140"/>
        <w:ind w:left="360" w:hanging="360"/>
      </w:pPr>
      <w:r>
        <w:rPr>
          <w:sz w:val="20"/>
        </w:rPr>
        <w:t xml:space="preserve">Gilardi, F., Alizadeh, M., &amp; Kubli, M. (2023). ChatGPT outperforms crowd workers for text-annotation tasks. </w:t>
      </w:r>
      <w:r>
        <w:rPr>
          <w:i/>
          <w:sz w:val="20"/>
        </w:rPr>
        <w:t>Proceedings of the National Academy of Sciences</w:t>
      </w:r>
      <w:r>
        <w:rPr>
          <w:sz w:val="20"/>
        </w:rPr>
        <w:t>, 120(30), Article e2305016120. https://doi.org/10.1073/pnas.2305016120</w:t>
      </w:r>
    </w:p>
    <w:p>
      <w:pPr>
        <w:keepLines/>
        <w:widowControl/>
        <w:spacing w:after="140"/>
        <w:ind w:left="360" w:hanging="360"/>
      </w:pPr>
      <w:r>
        <w:rPr>
          <w:sz w:val="20"/>
        </w:rPr>
        <w:t>Jadhav, S., Shanbhag, A., Thakurdesai, A., Sinare, R., &amp; Joshi, R. (2025). On limitations of LLM as annotator for low resource languages (Version 2) [Preprint]. arXiv. https://arxiv.org/abs/2411.17637v2</w:t>
      </w:r>
    </w:p>
    <w:p>
      <w:pPr>
        <w:keepLines/>
        <w:widowControl/>
        <w:spacing w:after="140"/>
        <w:ind w:left="360" w:hanging="360"/>
      </w:pPr>
      <w:r>
        <w:rPr>
          <w:sz w:val="20"/>
        </w:rPr>
        <w:t xml:space="preserve">Kasmuri, E., &amp; Basiron, H. (2019). Building a Malay-English code-switching subjectivity corpus for sentiment analysis. </w:t>
      </w:r>
      <w:r>
        <w:rPr>
          <w:i/>
          <w:sz w:val="20"/>
        </w:rPr>
        <w:t>International Journal of Advances in Soft Computing and Its Applications</w:t>
      </w:r>
      <w:r>
        <w:rPr>
          <w:sz w:val="20"/>
        </w:rPr>
        <w:t>, 11(1), 112–130. https://eprints.utem.edu.my/id/eprint/24469/</w:t>
      </w:r>
    </w:p>
    <w:p>
      <w:pPr>
        <w:keepLines/>
        <w:widowControl/>
        <w:spacing w:after="140"/>
        <w:ind w:left="360" w:hanging="360"/>
      </w:pPr>
      <w:r>
        <w:rPr>
          <w:sz w:val="20"/>
        </w:rPr>
        <w:t xml:space="preserve">Kong, J. T. H., Juwono, F. H., Ngu, I. Y., Nugraha, I. G. D., Maraden, Y., &amp; Wong, W. K. (2023). A mixed Malay–English language COVID-19 Twitter dataset: A sentiment analysis. </w:t>
      </w:r>
      <w:r>
        <w:rPr>
          <w:i/>
          <w:sz w:val="20"/>
        </w:rPr>
        <w:t>Big Data and Cognitive Computing</w:t>
      </w:r>
      <w:r>
        <w:rPr>
          <w:sz w:val="20"/>
        </w:rPr>
        <w:t>, 7(2), Article 61. https://doi.org/10.3390/bdcc7020061</w:t>
      </w:r>
    </w:p>
    <w:p>
      <w:pPr>
        <w:keepLines/>
        <w:widowControl/>
        <w:spacing w:after="140"/>
        <w:ind w:left="360" w:hanging="360"/>
      </w:pPr>
      <w:r>
        <w:rPr>
          <w:sz w:val="20"/>
        </w:rPr>
        <w:t xml:space="preserve">Maskat, R., &amp; Abdul Rahman, N. (2020). Categorization of Malay social media text and normalization of spelling variations and vowel-less words. </w:t>
      </w:r>
      <w:r>
        <w:rPr>
          <w:i/>
          <w:sz w:val="20"/>
        </w:rPr>
        <w:t>International Journal on Advanced Science, Engineering and Information Technology</w:t>
      </w:r>
      <w:r>
        <w:rPr>
          <w:sz w:val="20"/>
        </w:rPr>
        <w:t>, 10(4), 1380–1386. https://doi.org/10.18517/ijaseit.10.4.10237</w:t>
      </w:r>
    </w:p>
    <w:p>
      <w:pPr>
        <w:keepLines/>
        <w:widowControl/>
        <w:spacing w:after="140"/>
        <w:ind w:left="360" w:hanging="360"/>
      </w:pPr>
      <w:r>
        <w:rPr>
          <w:sz w:val="20"/>
        </w:rPr>
        <w:t xml:space="preserve">Mohd Shamsuddin, A., Samson Juan, S., Chua, S., &amp; Bramantoro, A. (2024). Semi-automatic sentiment identification for Malay-English code-switched data. </w:t>
      </w:r>
      <w:r>
        <w:rPr>
          <w:i/>
          <w:sz w:val="20"/>
        </w:rPr>
        <w:t>Journal of Advanced Research Design</w:t>
      </w:r>
      <w:r>
        <w:rPr>
          <w:sz w:val="20"/>
        </w:rPr>
        <w:t>, 123(1), 198–212. https://doi.org/10.37934/ard.123.1.198212</w:t>
      </w:r>
    </w:p>
    <w:p>
      <w:pPr>
        <w:keepLines/>
        <w:widowControl/>
        <w:spacing w:after="140"/>
        <w:ind w:left="360" w:hanging="360"/>
      </w:pPr>
      <w:r>
        <w:rPr>
          <w:sz w:val="20"/>
        </w:rPr>
        <w:t>Niimi, J. (2024). Dynamic sentiment analysis with local large language models using majority voting: A study on factors affecting restaurant evaluation [Preprint]. arXiv. https://arxiv.org/abs/2407.13069</w:t>
      </w:r>
    </w:p>
    <w:p>
      <w:pPr>
        <w:keepLines/>
        <w:widowControl/>
        <w:spacing w:after="140"/>
        <w:ind w:left="360" w:hanging="360"/>
      </w:pPr>
      <w:r>
        <w:rPr>
          <w:sz w:val="20"/>
        </w:rPr>
        <w:t>Romadhona, N. P., Lu, S.-E., Lu, B.-H., &amp; Tsai, R. T.-H. (2022). BRCC and SentiBahasaRojak: The first Bahasa Rojak corpus for pretraining and sentiment analysis dataset. In Proceedings of the 29th International Conference on Computational Linguistics (pp. 4418–4428). International Committee on Computational Linguistics. https://aclanthology.org/2022.coling-1.389/</w:t>
      </w:r>
    </w:p>
    <w:p>
      <w:pPr>
        <w:keepLines/>
        <w:widowControl/>
        <w:spacing w:after="140"/>
        <w:ind w:left="360" w:hanging="360"/>
      </w:pPr>
      <w:r>
        <w:rPr>
          <w:sz w:val="20"/>
        </w:rPr>
        <w:t xml:space="preserve">Sokolova, M., &amp; Lapalme, G. (2009). A systematic analysis of performance measures for classification tasks. </w:t>
      </w:r>
      <w:r>
        <w:rPr>
          <w:i/>
          <w:sz w:val="20"/>
        </w:rPr>
        <w:t>Information Processing &amp; Management</w:t>
      </w:r>
      <w:r>
        <w:rPr>
          <w:sz w:val="20"/>
        </w:rPr>
        <w:t>, 45(4), 427–437. https://doi.org/10.1016/j.ipm.2009.03.002</w:t>
      </w:r>
    </w:p>
    <w:p>
      <w:pPr>
        <w:keepLines/>
        <w:widowControl/>
        <w:spacing w:after="140"/>
        <w:ind w:left="360" w:hanging="360"/>
      </w:pPr>
      <w:r>
        <w:rPr>
          <w:sz w:val="20"/>
        </w:rPr>
        <w:t xml:space="preserve">Treffers-Daller, J., Majid, S., Yap, N. T., &amp; Flynn, N. (2022). Explaining the diversity in Malay-English code-switching patterns: The contribution of typological similarity and bilingual optimization strategies. </w:t>
      </w:r>
      <w:r>
        <w:rPr>
          <w:i/>
          <w:sz w:val="20"/>
        </w:rPr>
        <w:t>Languages</w:t>
      </w:r>
      <w:r>
        <w:rPr>
          <w:sz w:val="20"/>
        </w:rPr>
        <w:t>, 7(4), Article 299. https://doi.org/10.3390/languages7040299</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4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imes New Roman" w:hAnsi="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Automated Sentiment Annotation and Transformer Evaluation for Malaysian Code Mixed Social Media Text</dc:title>
  <dc:subject>A narrative review of language challenges, annotation, models and evaluation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