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4CC60" w14:textId="77777777" w:rsidR="00295F89" w:rsidRDefault="00000000">
      <w:pPr>
        <w:pStyle w:val="Title"/>
      </w:pPr>
      <w:r>
        <w:t>Annotation Reliability in Malaysian Malay-English Code-Mixed Sentiment Analysis</w:t>
      </w:r>
    </w:p>
    <w:p w14:paraId="5DA132E0" w14:textId="77777777" w:rsidR="00295F89" w:rsidRDefault="00000000">
      <w:pPr>
        <w:pStyle w:val="Heading1"/>
      </w:pPr>
      <w:r>
        <w:t>Abstract</w:t>
      </w:r>
    </w:p>
    <w:p w14:paraId="0C299777" w14:textId="77777777" w:rsidR="00295F89" w:rsidRDefault="00000000" w:rsidP="0095253D">
      <w:pPr>
        <w:jc w:val="both"/>
      </w:pPr>
      <w:r>
        <w:t>Sentiment analysis of Malay-English text needs reliable labels for training and testing. However, the four Malaysian resources examined in this review provide limited evidence of label quality. This review discusses the language features that make annotation difficult, compares ways of assigning labels, and examines how researchers check agreement. One concern is whether a neutral label means that a message has no sentiment or that a tool has missed the sentiment. For example, 78.23% of MESocSentiment posts are labelled neutral. Its published examples also include positive Malay expressions that automatic tools labelled as neutral. These examples show a need for further checking, but they do not reveal how often errors occur across the dataset. Another concern is that Cohen’s kappa can be difficult to interpret when one label is much more common than the others. Future studies should explain their annotation procedures, retain individual labels, and report agreement for the task being studied. They should also provide guidance on local expressions and check whether annotators make the same mistakes.</w:t>
      </w:r>
    </w:p>
    <w:p w14:paraId="32A46CC6" w14:textId="77777777" w:rsidR="00295F89" w:rsidRDefault="00000000" w:rsidP="0095253D">
      <w:pPr>
        <w:jc w:val="both"/>
      </w:pPr>
      <w:r>
        <w:t>Keywords: sentiment analysis, code-mixed text, Manglish, annotation reliability, inter-annotator agreement</w:t>
      </w:r>
    </w:p>
    <w:p w14:paraId="68EDB8C6" w14:textId="77777777" w:rsidR="00295F89" w:rsidRDefault="00000000">
      <w:pPr>
        <w:pStyle w:val="Heading1"/>
      </w:pPr>
      <w:r>
        <w:t>1. Introduction</w:t>
      </w:r>
    </w:p>
    <w:p w14:paraId="02D683C3" w14:textId="77777777" w:rsidR="00295F89" w:rsidRDefault="00000000">
      <w:r>
        <w:t>Sentiment analysis, also called opinion mining, identifies whether a text expresses a positive, negative or neutral opinion (Poria et al., 2023). Organisations use it to understand public opinion in areas such as consumer services, healthcare, elections and finance (Nazir et al., 2022). However, most language resources are developed mainly for individual languages (Joshi et al., 2020). This becomes a problem when a message switches between two languages, which is known as code-switching. A tool may recognise an opinion in one language but miss it in the other. As a result, performance is often lower on code-switched text than on comparable monolingual text, although the difference depends on the task (Doğruöz et al., 2021; Winata et al., 2023).</w:t>
      </w:r>
    </w:p>
    <w:p w14:paraId="7A897EAB" w14:textId="77777777" w:rsidR="00295F89" w:rsidRDefault="00000000">
      <w:r>
        <w:t>Malay-English mixing is common in Malaysian social media and written communication (AlAfnan et al., 2025). In this review, Manglish refers to the mixing of Malay and English. Bahasa Rojak is a broader term that may also include Chinese (Romadhona et al., 2022). Malay-English communication has recurring switching patterns (Treffers-Daller et al., 2022) and informal spellings, such as x for tidak (Maskat and Rahman, 2020). Standard language resources may not include these forms. A tool may therefore miss an expression that a Malaysian reader can understand, including a negative word that changes the meaning of an opinion (Abu Bakar et al., 2020).</w:t>
      </w:r>
    </w:p>
    <w:p w14:paraId="07CD541F" w14:textId="77777777" w:rsidR="00295F89" w:rsidRDefault="00000000">
      <w:r>
        <w:t>Part of this difficulty comes from the data used to train language models. Models such as mBERT and XLM-R are trained mainly on monolingual text and may have limited exposure to code-switching (Doğruöz et al., 2021). Supporting several languages does not necessarily mean that a model handles those languages well when they appear together (Winata et al., 2021). Covering more languages can also place demands on the model’s available capacity (Conneau et al., 2020). Further training on code-switched examples can improve performance (Khanuja et al., 2020), but the results vary by language and training conditions (Adilazuarda et al., 2022).</w:t>
      </w:r>
    </w:p>
    <w:p w14:paraId="6B20E653" w14:textId="77777777" w:rsidR="00295F89" w:rsidRDefault="00000000">
      <w:r>
        <w:t>Another problem concerns the labels used to train and test these models. In supervised sentiment analysis, each training example has a label that tells the model which sentiment it should learn to recognise (Poria et al., 2023). Incorrect labels can teach the model the wrong patterns (Frénay and Verleysen, 2014). Labels also matter during testing. If the test labels are wrong, the reported results may be misleading and may even change which model appears to perform best (Northcutt et al., 2021). Reliable evaluation therefore depends on the quality of the labels, as well as the model itself (Bowman and Dahl, 2021).</w:t>
      </w:r>
    </w:p>
    <w:p w14:paraId="6830FFC7" w14:textId="77777777" w:rsidR="00295F89" w:rsidRDefault="00000000">
      <w:r>
        <w:lastRenderedPageBreak/>
        <w:t>This review examines four Malaysian Malay-English sentiment resources: MY-EN-CS, SentiBahasaRojak, MyCovid-Senti and MESocSentiment (Kasmuri and Basiron, 2019; Romadhona et al., 2022; Kong et al., 2023; Mohd Shamsuddin et al., 2024). For general-purpose use, this review considers four desirable features: at least 10,000 labelled messages, a class distribution that is not dominated by one label, everyday social-media language, and direct evidence that the labels are reliable. These are the criteria used in this review, rather than universal requirements for every dataset. Each resource meets some of them, but none meets all four.</w:t>
      </w:r>
    </w:p>
    <w:p w14:paraId="3AD1586C" w14:textId="77777777" w:rsidR="00295F89" w:rsidRDefault="00000000">
      <w:r>
        <w:t>MESocSentiment is the largest of these resources, but 78.23% of its posts are labelled neutral (Mohd Shamsuddin et al., 2024). The study also presents examples in which automatic tools miss positive Malay expressions. These examples need further investigation, although they do not show the overall error rate. The four resources also provide limited information about agreement between annotators. MyCovid-Senti and MESocSentiment do not report an agreement coefficient (Kong et al., 2023; Mohd Shamsuddin et al., 2024). MY-EN-CS and SentiBahasaRojak report agreement for tasks with two categories, rather than for the three sentiment labels of positive, negative and neutral (Kasmuri and Basiron, 2019; Romadhona et al., 2022).</w:t>
      </w:r>
    </w:p>
    <w:p w14:paraId="0C3A0CFE" w14:textId="77777777" w:rsidR="00295F89" w:rsidRDefault="00000000">
      <w:r>
        <w:t>To check consistency, researchers can ask annotators to label the same messages independently. They can then calculate an agreement measure such as Cohen’s kappa (κ), which accounts for agreement expected by chance (Cohen, 1960; Artstein and Poesio, 2008). However, κ is affected by how often each annotator uses each label. This makes it harder to interpret when one class is much larger than the others (Feinstein and Cicchetti, 1990; Byrt et al., 1993; Di Eugenio and Glass, 2004). A dataset with many neutral labels therefore needs careful checks of both label quality and agreement. These issues add to the shortage of annotated code-mixed Malay resources reported by Selvaraju et al. (2024).</w:t>
      </w:r>
    </w:p>
    <w:p w14:paraId="2A111303" w14:textId="77777777" w:rsidR="00295F89" w:rsidRDefault="00000000">
      <w:r>
        <w:t>This review asks what prevents researchers from establishing reliable annotation and evaluation for Malaysian Malay-English sentiment data. It focuses on language difficulties, labelling methods and evidence of label quality. Reviews of sentiment classifiers and sentiment analysis more broadly are available elsewhere (Poria et al., 2023; Nazir et al., 2022). The purpose here is to assess the evidence supporting existing labels and identify what future studies need to check. No new system is proposed.</w:t>
      </w:r>
    </w:p>
    <w:p w14:paraId="6C133068" w14:textId="77777777" w:rsidR="00295F89" w:rsidRDefault="00000000">
      <w:r>
        <w:t>The review makes three contributions:</w:t>
      </w:r>
    </w:p>
    <w:p w14:paraId="3734E936" w14:textId="77777777" w:rsidR="00295F89" w:rsidRDefault="00000000">
      <w:pPr>
        <w:pStyle w:val="ListBullet"/>
      </w:pPr>
      <w:r>
        <w:t>It compares manual annotation, existing sentiment tools and generative models, focusing on the effort required and the evidence of label reliability.</w:t>
      </w:r>
    </w:p>
    <w:p w14:paraId="03E397F5" w14:textId="77777777" w:rsidR="00295F89" w:rsidRDefault="00000000">
      <w:pPr>
        <w:pStyle w:val="ListBullet"/>
      </w:pPr>
      <w:r>
        <w:t>It explains the difference between missed sentiment cues and reasonable differences in interpretation, and examines the reliability evidence for four Malay-English resources.</w:t>
      </w:r>
    </w:p>
    <w:p w14:paraId="4D495597" w14:textId="77777777" w:rsidR="00295F89" w:rsidRDefault="00000000">
      <w:pPr>
        <w:pStyle w:val="ListBullet"/>
      </w:pPr>
      <w:r>
        <w:t>It shows how language difficulties, labelling methods and class imbalance affect one another, and identifies priorities for future research.</w:t>
      </w:r>
    </w:p>
    <w:p w14:paraId="1165558E" w14:textId="77777777" w:rsidR="00295F89" w:rsidRDefault="00000000">
      <w:r>
        <w:t>Section 2 describes the literature selection. Section 3 discusses language difficulties, followed by annotation approaches in Section 4 and reliability evaluation in Section 5. Section 6 brings these issues together and outlines research priorities. Section 7 concludes the review.</w:t>
      </w:r>
    </w:p>
    <w:p w14:paraId="778FD7F0" w14:textId="77777777" w:rsidR="00295F89" w:rsidRDefault="00000000">
      <w:pPr>
        <w:pStyle w:val="Heading1"/>
      </w:pPr>
      <w:r>
        <w:t>2. Review Methodology</w:t>
      </w:r>
    </w:p>
    <w:p w14:paraId="645C0A98" w14:textId="77777777" w:rsidR="00295F89" w:rsidRDefault="00000000">
      <w:r>
        <w:t>The literature was identified through structured searches in the ACL Anthology, IEEE Xplore and Scopus. The searches combined terms from three groups. Language terms included code-mixed, code-switching, Manglish, Bahasa Rojak and Malay-English. Task terms included sentiment analysis, polarity and opinion mining. The final group focused on datasets and label quality, using corpus, annotation, inter-annotator agreement and label quality.</w:t>
      </w:r>
    </w:p>
    <w:p w14:paraId="3A0F6587" w14:textId="77777777" w:rsidR="00295F89" w:rsidRDefault="00000000">
      <w:r>
        <w:t>The main search covered studies published from 2019 to 2026. Earlier studies were included when they were cited in the papers found during the search. Studies on agreement measures were not limited to this period because several commonly used measures were introduced before 2019.</w:t>
      </w:r>
    </w:p>
    <w:p w14:paraId="7BB6ACA1" w14:textId="77777777" w:rsidR="00295F89" w:rsidRDefault="00000000">
      <w:r>
        <w:lastRenderedPageBreak/>
        <w:t>Studies had to meet four conditions to be included. They had to examine Malaysian Malay-English text or methods that could be applied to its annotation. They also had to explain how labels were produced and checked, appear in a peer-reviewed journal or conference, and include work on annotation or reliability. Preprints without a peer-reviewed version were excluded.</w:t>
      </w:r>
    </w:p>
    <w:p w14:paraId="2A098C5C" w14:textId="77777777" w:rsidR="00295F89" w:rsidRDefault="00000000">
      <w:r>
        <w:t>Studies that only reported classifier accuracy on an existing dataset were excluded. Such studies use the supplied labels to judge model performance, but do not necessarily check those labels. This review focuses on the evidence that the labels themselves are reliable.</w:t>
      </w:r>
    </w:p>
    <w:p w14:paraId="4B5A603D" w14:textId="77777777" w:rsidR="00295F89" w:rsidRDefault="00000000">
      <w:pPr>
        <w:pStyle w:val="Heading1"/>
      </w:pPr>
      <w:r>
        <w:t>3. Linguistic Challenges for Annotation</w:t>
      </w:r>
    </w:p>
    <w:p w14:paraId="652AF48D" w14:textId="77777777" w:rsidR="00295F89" w:rsidRDefault="00000000">
      <w:r>
        <w:t>Three features of Malay-English text are especially relevant to annotation: switching between languages, particles whose meaning depends on context, and non-standard spelling.</w:t>
      </w:r>
    </w:p>
    <w:p w14:paraId="3BF4B0BF" w14:textId="77777777" w:rsidR="00295F89" w:rsidRDefault="00000000">
      <w:pPr>
        <w:pStyle w:val="Heading2"/>
      </w:pPr>
      <w:r>
        <w:t>3.1 Sentiment across language boundaries</w:t>
      </w:r>
    </w:p>
    <w:p w14:paraId="352D5BF7" w14:textId="77777777" w:rsidR="00295F89" w:rsidRDefault="00000000">
      <w:r>
        <w:t>Annotators need to understand the whole message, even when it switches between Malay and English. Treffers-Daller et al. (2022) found frequent switching within clauses in Malaysian classroom speech. This shows that both languages can appear within a sentence. However, the study does not establish how common this pattern is in social-media writing.</w:t>
      </w:r>
    </w:p>
    <w:p w14:paraId="282DDEA2" w14:textId="77777777" w:rsidR="00295F89" w:rsidRDefault="00000000">
      <w:r>
        <w:t>For sentiment annotation, the main concern is whether the person or tool recognises the words that express an opinion. A tool may understand the English part but miss an opinion expressed in Malay. Bilingual annotators can read both parts, although they still need guidance when a message contains several opinions or discusses more than one target (Mohammad, 2016).</w:t>
      </w:r>
    </w:p>
    <w:p w14:paraId="02C2C6C5" w14:textId="77777777" w:rsidR="00295F89" w:rsidRDefault="00000000">
      <w:pPr>
        <w:pStyle w:val="Heading2"/>
      </w:pPr>
      <w:r>
        <w:t>3.2 Particles and context</w:t>
      </w:r>
    </w:p>
    <w:p w14:paraId="055025D9" w14:textId="77777777" w:rsidR="00295F89" w:rsidRDefault="00000000">
      <w:r>
        <w:t>Particles such as lah can affect how a message sounds without changing its basic content. Treffers-Daller et al. (2022) describe several uses, including expressing assertiveness and encouragement. AlAfnan et al. (2025) use “Don’t disturb la, he’s busy” as an example of a softened instruction. These studies examine classroom speech and television dialogue. They help explain what particles can do, but not how often each use appears on social media.</w:t>
      </w:r>
    </w:p>
    <w:p w14:paraId="6EC8A4BD" w14:textId="77777777" w:rsidR="00295F89" w:rsidRDefault="00000000">
      <w:r>
        <w:t>Lah therefore cannot be given a fixed positive or negative meaning. Depending on the context, an expression may sound irritated or polite. Annotation guidelines should explain how to consider this tone when deciding whether the message expresses a positive, negative or neutral opinion.</w:t>
      </w:r>
    </w:p>
    <w:p w14:paraId="2264CC41" w14:textId="77777777" w:rsidR="00295F89" w:rsidRDefault="00000000">
      <w:pPr>
        <w:pStyle w:val="Heading2"/>
      </w:pPr>
      <w:r>
        <w:t>3.3 Spelling variation</w:t>
      </w:r>
    </w:p>
    <w:p w14:paraId="0FFCB002" w14:textId="77777777" w:rsidR="00295F89" w:rsidRDefault="00000000">
      <w:r>
        <w:t>Automatic tools may fail to recognise familiar words when users spell them informally. Maskat and Rahman (2020) report forms such as jgn for jangan and several spellings of macam mana. In their spelling-</w:t>
      </w:r>
      <w:proofErr w:type="spellStart"/>
      <w:r>
        <w:t>normalisation</w:t>
      </w:r>
      <w:proofErr w:type="spellEnd"/>
      <w:r>
        <w:t xml:space="preserve"> experiment, the highest precision was 0.43. This means that fewer than half of the proposed matches were correct. However, the evaluation excluded English words and code-mixed posts. The result therefore does not measure performance on Malay-English code-mixed text.</w:t>
      </w:r>
    </w:p>
    <w:p w14:paraId="6BF900C2" w14:textId="77777777" w:rsidR="00295F89" w:rsidRDefault="00000000">
      <w:r>
        <w:t>Negation makes spelling variation particularly relevant to sentiment. As mentioned in Section 1, x can mean tidak. If a tool fails to recognise this negative form, it may misunderstand the opinion. A spelling-normalisation method should therefore be checked for whether it keeps the original sentiment, as well as whether it produces a standard spelling.</w:t>
      </w:r>
    </w:p>
    <w:p w14:paraId="4A9F0FFB" w14:textId="77777777" w:rsidR="00295F89" w:rsidRDefault="00000000">
      <w:pPr>
        <w:pStyle w:val="Heading1"/>
      </w:pPr>
      <w:r>
        <w:t>4. Annotation Approaches and Their Limitations</w:t>
      </w:r>
    </w:p>
    <w:p w14:paraId="5334F39D" w14:textId="77777777" w:rsidR="00295F89" w:rsidRDefault="00000000">
      <w:pPr>
        <w:pStyle w:val="Heading2"/>
      </w:pPr>
      <w:r>
        <w:t>4.1 Human and automatic labelling</w:t>
      </w:r>
    </w:p>
    <w:p w14:paraId="3172A94D" w14:textId="77777777" w:rsidR="00295F89" w:rsidRDefault="00000000">
      <w:r>
        <w:t xml:space="preserve">Both human annotators and automatic tools face the language difficulties discussed in Section 3. People who know local language use can consider context, but manual annotation takes time and requires suitable </w:t>
      </w:r>
      <w:r>
        <w:lastRenderedPageBreak/>
        <w:t>language skills. Kasmuri and Basiron (2019) developed a subjectivity corpus from blogs. Kong et al. (2023) used three independent annotators and written guidelines to label 11,568 tweets. These approaches allow human judgement, but the labels still need to be checked for consistency and quality.</w:t>
      </w:r>
    </w:p>
    <w:p w14:paraId="16D5AB98" w14:textId="77777777" w:rsidR="00295F89" w:rsidRDefault="00000000">
      <w:r>
        <w:t>Some datasets use a mixture of human and automatic methods. SentiBahasaRojak includes automatically generated code-mixed reviews and stock-market posts labelled by five experts (Romadhona et al., 2022). The reported agreement covers only the stock-market subset. It should therefore be interpreted as evidence for that subset, rather than for the entire dataset.</w:t>
      </w:r>
    </w:p>
    <w:p w14:paraId="1E2497AC" w14:textId="77777777" w:rsidR="00295F89" w:rsidRDefault="00000000">
      <w:r>
        <w:t>Automatic tools can assign labels more quickly. Mohd Shamsuddin et al. (2024) used TextBlob, VADER and pysentimiento to label MESocSentiment. The label supported by the majority of the tools became the final label. The authors describe the overall dataset construction as semi-automatic, but the sentiment labels were assigned automatically. Their accuracy on Malay-English text still needs to be checked separately.</w:t>
      </w:r>
    </w:p>
    <w:p w14:paraId="7CDB76D3" w14:textId="77777777" w:rsidR="00295F89" w:rsidRDefault="00000000">
      <w:r>
        <w:t>Generative models offer another way to label text, but their performance needs to be tested for the language and task concerned. Jadhav et al. (2025) found that GPT-4o and Llama 3.1 405B performed worse than a fine-tuned BERT model on four Marathi classification tasks, including sentiment analysis. This finding does not establish how the models would perform on Malaysian text. None of the studies reviewed here directly tests generative models as annotators for Malay-English sentiment.</w:t>
      </w:r>
    </w:p>
    <w:p w14:paraId="0A6A7896" w14:textId="77777777" w:rsidR="00295F89" w:rsidRDefault="00000000">
      <w:pPr>
        <w:pStyle w:val="Heading2"/>
      </w:pPr>
      <w:r>
        <w:t>4.2 Interpreting neutral labels</w:t>
      </w:r>
    </w:p>
    <w:p w14:paraId="31A0D6C1" w14:textId="77777777" w:rsidR="00295F89" w:rsidRDefault="00000000">
      <w:r>
        <w:t>MESocSentiment contains 19,714 posts, of which 78.23% are labelled neutral, 16.33% positive and 5.44% negative (Mohd Shamsuddin et al., 2024). A large neutral class does not automatically mean that the labels are wrong. It may reflect the topics collected, the labelling rules or a large number of messages with no sentiment. The question is whether some posts received a neutral label because the tools failed to recognise an opinion.</w:t>
      </w:r>
    </w:p>
    <w:p w14:paraId="025B6FCD" w14:textId="77777777" w:rsidR="00295F89" w:rsidRDefault="00000000">
      <w:r>
        <w:t>The dataset was collected using #Malaysia and covers topics such as sports, politics and the arts (Mohd Shamsuddin et al., 2024). By comparison, 23.6% of the posts in a Malaysian COVID-19 Twitter dataset labelled by three people are neutral (Kong et al., 2023). The datasets cover different content and cannot be compared directly. Their different neutral shares provide a reason to investigate further, but do not prove that MESocSentiment contains incorrect labels.</w:t>
      </w:r>
    </w:p>
    <w:p w14:paraId="08DCBC1B" w14:textId="77777777" w:rsidR="00295F89" w:rsidRDefault="00000000">
      <w:r>
        <w:t>One possible cause of an incorrect neutral label is limited language coverage. VADER calculates sentiment from the cues it recognises and assigns neutral when the resulting score is near zero (Hutto and Gilbert, 2014). If its resources do not include a Malay expression, that expression may not contribute to the score. A message with an opinion may then receive a neutral label.</w:t>
      </w:r>
    </w:p>
    <w:p w14:paraId="172906DE" w14:textId="77777777" w:rsidR="00295F89" w:rsidRDefault="00000000">
      <w:r>
        <w:t>The examples published with MESocSentiment illustrate this problem. Of the six labelled examples presented by Mohd Shamsuddin et al. (2024), three contain positive Malay expressions that were labelled neutral. One expression is memang cantik sangat, meaning “really very beautiful”. These examples show that the tools can miss Malay sentiment. However, six examples are not enough to estimate the error rate for the whole dataset.</w:t>
      </w:r>
    </w:p>
    <w:p w14:paraId="1BF93FD1" w14:textId="77777777" w:rsidR="00295F89" w:rsidRDefault="00000000">
      <w:r>
        <w:t>Disagreement can also occur when a message has more than one reasonable interpretation (Plank, 2022). Collecting more judgements does not always remove such disagreement (Pavlick and Kwiatkowski, 2019). This does not explain why MESocSentiment has so many neutral labels, but it raises an important annotation issue. A message with no sentiment should be distinguished from one whose sentiment is uncertain.</w:t>
      </w:r>
    </w:p>
    <w:p w14:paraId="441202F7" w14:textId="77777777" w:rsidR="00295F89" w:rsidRDefault="00000000">
      <w:pPr>
        <w:pStyle w:val="Heading2"/>
      </w:pPr>
      <w:r>
        <w:t>4.3 Limits of majority voting</w:t>
      </w:r>
    </w:p>
    <w:p w14:paraId="02088B3F" w14:textId="77777777" w:rsidR="00295F89" w:rsidRDefault="00000000">
      <w:r>
        <w:t xml:space="preserve">Majority voting selects the label chosen by most annotators. It can reduce the effect of an individual mistake, but it cannot correct a mistake made by the majority (Hovy et al., 2013). In MESocSentiment, </w:t>
      </w:r>
      <w:r>
        <w:lastRenderedPageBreak/>
        <w:t>each of the three tools labels most retained posts as neutral, as shown in Table 1. Pysentimiento is the only transformer-based analyser in this comparison (Devlin et al., 2019), and it has the highest neutral share. This share alone does not show whether it is less accurate. The totals also do not reveal whether the tools make mistakes on the same posts. Bilingual reviewers would need to check the posts independently to answer that question.</w:t>
      </w:r>
    </w:p>
    <w:p w14:paraId="1CD2B306" w14:textId="77777777" w:rsidR="00295F89" w:rsidRDefault="00000000">
      <w:pPr>
        <w:keepNext/>
      </w:pPr>
      <w:r>
        <w:t>Table 1. Neutral labels in the retained MESocSentiment corpus</w:t>
      </w:r>
    </w:p>
    <w:tbl>
      <w:tblPr>
        <w:tblStyle w:val="TableGrid"/>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00" w:firstRow="0" w:lastRow="0" w:firstColumn="0" w:lastColumn="0" w:noHBand="0" w:noVBand="1"/>
      </w:tblPr>
      <w:tblGrid>
        <w:gridCol w:w="3217"/>
        <w:gridCol w:w="3228"/>
        <w:gridCol w:w="3230"/>
      </w:tblGrid>
      <w:tr w:rsidR="003054D4" w:rsidRPr="003054D4" w14:paraId="61E6E92D" w14:textId="77777777" w:rsidTr="003054D4">
        <w:trPr>
          <w:tblHeader/>
          <w:jc w:val="center"/>
        </w:trPr>
        <w:tc>
          <w:tcPr>
            <w:tcW w:w="1663" w:type="pct"/>
            <w:shd w:val="clear" w:color="auto" w:fill="EDEDED"/>
            <w:vAlign w:val="center"/>
          </w:tcPr>
          <w:p w14:paraId="5A2ABD6E" w14:textId="77777777" w:rsidR="00F2494B" w:rsidRPr="003054D4" w:rsidRDefault="00000000" w:rsidP="001D5261">
            <w:pPr>
              <w:tabs>
                <w:tab w:val="left" w:pos="24"/>
              </w:tabs>
              <w:spacing w:before="80" w:after="80" w:line="240" w:lineRule="auto"/>
              <w:rPr>
                <w:b/>
                <w:color w:val="FFFFFF"/>
                <w:sz w:val="24"/>
                <w:szCs w:val="24"/>
              </w:rPr>
            </w:pPr>
            <w:proofErr w:type="spellStart"/>
            <w:r>
              <w:rPr>
                <w:b/>
                <w:sz w:val="20"/>
                <w:szCs w:val="24"/>
              </w:rPr>
              <w:t>Analyser</w:t>
            </w:r>
            <w:proofErr w:type="spellEnd"/>
          </w:p>
        </w:tc>
        <w:tc>
          <w:tcPr>
            <w:tcW w:w="1668" w:type="pct"/>
            <w:shd w:val="clear" w:color="auto" w:fill="EDEDED"/>
            <w:vAlign w:val="center"/>
          </w:tcPr>
          <w:p w14:paraId="34B2040C" w14:textId="77777777" w:rsidR="00F2494B" w:rsidRPr="003054D4" w:rsidRDefault="00000000" w:rsidP="001D5261">
            <w:pPr>
              <w:tabs>
                <w:tab w:val="left" w:pos="24"/>
              </w:tabs>
              <w:spacing w:before="80" w:after="80" w:line="240" w:lineRule="auto"/>
              <w:rPr>
                <w:b/>
                <w:color w:val="FFFFFF"/>
                <w:sz w:val="24"/>
                <w:szCs w:val="24"/>
              </w:rPr>
            </w:pPr>
            <w:r>
              <w:rPr>
                <w:b/>
                <w:sz w:val="20"/>
                <w:szCs w:val="24"/>
              </w:rPr>
              <w:t>Neutral posts</w:t>
            </w:r>
          </w:p>
        </w:tc>
        <w:tc>
          <w:tcPr>
            <w:tcW w:w="1669" w:type="pct"/>
            <w:shd w:val="clear" w:color="auto" w:fill="EDEDED"/>
            <w:vAlign w:val="center"/>
          </w:tcPr>
          <w:p w14:paraId="2C520718" w14:textId="77777777" w:rsidR="00F2494B" w:rsidRPr="003054D4" w:rsidRDefault="00000000" w:rsidP="001D5261">
            <w:pPr>
              <w:tabs>
                <w:tab w:val="left" w:pos="24"/>
              </w:tabs>
              <w:spacing w:before="80" w:after="80" w:line="240" w:lineRule="auto"/>
              <w:rPr>
                <w:b/>
                <w:color w:val="FFFFFF"/>
                <w:sz w:val="24"/>
                <w:szCs w:val="24"/>
              </w:rPr>
            </w:pPr>
            <w:r>
              <w:rPr>
                <w:b/>
                <w:sz w:val="20"/>
                <w:szCs w:val="24"/>
              </w:rPr>
              <w:t>Share</w:t>
            </w:r>
          </w:p>
        </w:tc>
      </w:tr>
      <w:tr w:rsidR="003054D4" w:rsidRPr="003054D4" w14:paraId="546BE4F2" w14:textId="77777777" w:rsidTr="003054D4">
        <w:trPr>
          <w:jc w:val="center"/>
        </w:trPr>
        <w:tc>
          <w:tcPr>
            <w:tcW w:w="1663" w:type="pct"/>
            <w:shd w:val="clear" w:color="auto" w:fill="FFFFFF"/>
            <w:vAlign w:val="center"/>
          </w:tcPr>
          <w:p w14:paraId="728C4BCC" w14:textId="77777777" w:rsidR="00F2494B" w:rsidRPr="003054D4" w:rsidRDefault="00000000" w:rsidP="001D5261">
            <w:pPr>
              <w:tabs>
                <w:tab w:val="left" w:pos="24"/>
              </w:tabs>
              <w:spacing w:before="80" w:after="80" w:line="240" w:lineRule="auto"/>
              <w:rPr>
                <w:b/>
                <w:color w:val="FFFFFF"/>
                <w:sz w:val="24"/>
                <w:szCs w:val="24"/>
              </w:rPr>
            </w:pPr>
            <w:proofErr w:type="spellStart"/>
            <w:r>
              <w:rPr>
                <w:sz w:val="20"/>
                <w:szCs w:val="24"/>
              </w:rPr>
              <w:t>TextBlob</w:t>
            </w:r>
            <w:proofErr w:type="spellEnd"/>
          </w:p>
        </w:tc>
        <w:tc>
          <w:tcPr>
            <w:tcW w:w="1668" w:type="pct"/>
            <w:shd w:val="clear" w:color="auto" w:fill="FFFFFF"/>
            <w:vAlign w:val="center"/>
          </w:tcPr>
          <w:p w14:paraId="0B44B2E5" w14:textId="77777777" w:rsidR="00F2494B" w:rsidRPr="003054D4" w:rsidRDefault="00000000" w:rsidP="001D5261">
            <w:pPr>
              <w:tabs>
                <w:tab w:val="left" w:pos="24"/>
              </w:tabs>
              <w:spacing w:before="80" w:after="80" w:line="240" w:lineRule="auto"/>
              <w:rPr>
                <w:sz w:val="24"/>
                <w:szCs w:val="24"/>
              </w:rPr>
            </w:pPr>
            <w:r>
              <w:rPr>
                <w:sz w:val="20"/>
                <w:szCs w:val="24"/>
              </w:rPr>
              <w:t>14,305</w:t>
            </w:r>
          </w:p>
        </w:tc>
        <w:tc>
          <w:tcPr>
            <w:tcW w:w="1669" w:type="pct"/>
            <w:shd w:val="clear" w:color="auto" w:fill="FFFFFF"/>
            <w:vAlign w:val="center"/>
          </w:tcPr>
          <w:p w14:paraId="658FB050" w14:textId="77777777" w:rsidR="00F2494B" w:rsidRPr="003054D4" w:rsidRDefault="00000000" w:rsidP="001D5261">
            <w:pPr>
              <w:tabs>
                <w:tab w:val="left" w:pos="24"/>
              </w:tabs>
              <w:spacing w:before="80" w:after="80" w:line="240" w:lineRule="auto"/>
              <w:rPr>
                <w:sz w:val="24"/>
                <w:szCs w:val="24"/>
              </w:rPr>
            </w:pPr>
            <w:r>
              <w:rPr>
                <w:sz w:val="20"/>
                <w:szCs w:val="24"/>
              </w:rPr>
              <w:t>72.56%</w:t>
            </w:r>
          </w:p>
        </w:tc>
      </w:tr>
      <w:tr w:rsidR="003054D4" w:rsidRPr="003054D4" w14:paraId="43A9FD41" w14:textId="77777777" w:rsidTr="003054D4">
        <w:trPr>
          <w:jc w:val="center"/>
        </w:trPr>
        <w:tc>
          <w:tcPr>
            <w:tcW w:w="1663" w:type="pct"/>
            <w:shd w:val="clear" w:color="auto" w:fill="FFFFFF"/>
            <w:vAlign w:val="center"/>
          </w:tcPr>
          <w:p w14:paraId="4A3B09BB" w14:textId="77777777" w:rsidR="00F2494B" w:rsidRPr="003054D4" w:rsidRDefault="00000000" w:rsidP="001D5261">
            <w:pPr>
              <w:tabs>
                <w:tab w:val="left" w:pos="24"/>
              </w:tabs>
              <w:spacing w:before="80" w:after="80" w:line="240" w:lineRule="auto"/>
              <w:rPr>
                <w:b/>
                <w:color w:val="FFFFFF"/>
                <w:sz w:val="24"/>
                <w:szCs w:val="24"/>
              </w:rPr>
            </w:pPr>
            <w:r>
              <w:rPr>
                <w:sz w:val="20"/>
                <w:szCs w:val="24"/>
              </w:rPr>
              <w:t>VADER</w:t>
            </w:r>
          </w:p>
        </w:tc>
        <w:tc>
          <w:tcPr>
            <w:tcW w:w="1668" w:type="pct"/>
            <w:shd w:val="clear" w:color="auto" w:fill="FFFFFF"/>
            <w:vAlign w:val="center"/>
          </w:tcPr>
          <w:p w14:paraId="55F12166" w14:textId="77777777" w:rsidR="00F2494B" w:rsidRPr="003054D4" w:rsidRDefault="00000000" w:rsidP="001D5261">
            <w:pPr>
              <w:tabs>
                <w:tab w:val="left" w:pos="24"/>
              </w:tabs>
              <w:spacing w:before="80" w:after="80" w:line="240" w:lineRule="auto"/>
              <w:rPr>
                <w:sz w:val="24"/>
                <w:szCs w:val="24"/>
              </w:rPr>
            </w:pPr>
            <w:r>
              <w:rPr>
                <w:sz w:val="20"/>
                <w:szCs w:val="24"/>
              </w:rPr>
              <w:t>13,115</w:t>
            </w:r>
          </w:p>
        </w:tc>
        <w:tc>
          <w:tcPr>
            <w:tcW w:w="1669" w:type="pct"/>
            <w:shd w:val="clear" w:color="auto" w:fill="FFFFFF"/>
            <w:vAlign w:val="center"/>
          </w:tcPr>
          <w:p w14:paraId="1E9B376C" w14:textId="77777777" w:rsidR="00F2494B" w:rsidRPr="003054D4" w:rsidRDefault="00000000" w:rsidP="001D5261">
            <w:pPr>
              <w:tabs>
                <w:tab w:val="left" w:pos="24"/>
              </w:tabs>
              <w:spacing w:before="80" w:after="80" w:line="240" w:lineRule="auto"/>
              <w:rPr>
                <w:sz w:val="24"/>
                <w:szCs w:val="24"/>
              </w:rPr>
            </w:pPr>
            <w:r>
              <w:rPr>
                <w:sz w:val="20"/>
                <w:szCs w:val="24"/>
              </w:rPr>
              <w:t>66.53%</w:t>
            </w:r>
          </w:p>
        </w:tc>
      </w:tr>
      <w:tr w:rsidR="003054D4" w:rsidRPr="003054D4" w14:paraId="3E7E785F" w14:textId="77777777" w:rsidTr="003054D4">
        <w:trPr>
          <w:jc w:val="center"/>
        </w:trPr>
        <w:tc>
          <w:tcPr>
            <w:tcW w:w="1663" w:type="pct"/>
            <w:shd w:val="clear" w:color="auto" w:fill="FFFFFF"/>
            <w:vAlign w:val="center"/>
          </w:tcPr>
          <w:p w14:paraId="6B658A57" w14:textId="77777777" w:rsidR="00F2494B" w:rsidRPr="003054D4" w:rsidRDefault="00000000" w:rsidP="001D5261">
            <w:pPr>
              <w:tabs>
                <w:tab w:val="left" w:pos="24"/>
              </w:tabs>
              <w:spacing w:before="80" w:after="80" w:line="240" w:lineRule="auto"/>
              <w:rPr>
                <w:b/>
                <w:color w:val="FFFFFF"/>
                <w:sz w:val="24"/>
                <w:szCs w:val="24"/>
              </w:rPr>
            </w:pPr>
            <w:proofErr w:type="spellStart"/>
            <w:r>
              <w:rPr>
                <w:sz w:val="20"/>
                <w:szCs w:val="24"/>
              </w:rPr>
              <w:t>pysentimiento</w:t>
            </w:r>
            <w:proofErr w:type="spellEnd"/>
          </w:p>
        </w:tc>
        <w:tc>
          <w:tcPr>
            <w:tcW w:w="1668" w:type="pct"/>
            <w:shd w:val="clear" w:color="auto" w:fill="FFFFFF"/>
            <w:vAlign w:val="center"/>
          </w:tcPr>
          <w:p w14:paraId="317922BE" w14:textId="77777777" w:rsidR="00F2494B" w:rsidRPr="003054D4" w:rsidRDefault="00000000" w:rsidP="001D5261">
            <w:pPr>
              <w:tabs>
                <w:tab w:val="left" w:pos="24"/>
              </w:tabs>
              <w:spacing w:before="80" w:after="80" w:line="240" w:lineRule="auto"/>
              <w:rPr>
                <w:sz w:val="24"/>
                <w:szCs w:val="24"/>
              </w:rPr>
            </w:pPr>
            <w:r>
              <w:rPr>
                <w:sz w:val="20"/>
                <w:szCs w:val="24"/>
              </w:rPr>
              <w:t>16,916</w:t>
            </w:r>
          </w:p>
        </w:tc>
        <w:tc>
          <w:tcPr>
            <w:tcW w:w="1669" w:type="pct"/>
            <w:shd w:val="clear" w:color="auto" w:fill="FFFFFF"/>
            <w:vAlign w:val="center"/>
          </w:tcPr>
          <w:p w14:paraId="0F36A5AC" w14:textId="77777777" w:rsidR="00F2494B" w:rsidRPr="003054D4" w:rsidRDefault="00000000" w:rsidP="001D5261">
            <w:pPr>
              <w:tabs>
                <w:tab w:val="left" w:pos="24"/>
              </w:tabs>
              <w:spacing w:before="80" w:after="80" w:line="240" w:lineRule="auto"/>
              <w:rPr>
                <w:sz w:val="24"/>
                <w:szCs w:val="24"/>
              </w:rPr>
            </w:pPr>
            <w:r>
              <w:rPr>
                <w:sz w:val="20"/>
                <w:szCs w:val="24"/>
              </w:rPr>
              <w:t>85.81%</w:t>
            </w:r>
          </w:p>
        </w:tc>
      </w:tr>
      <w:tr w:rsidR="003054D4" w:rsidRPr="003054D4" w14:paraId="0EC932AA" w14:textId="77777777" w:rsidTr="001D5261">
        <w:trPr>
          <w:jc w:val="center"/>
        </w:trPr>
        <w:tc>
          <w:tcPr>
            <w:tcW w:w="1663" w:type="pct"/>
            <w:shd w:val="clear" w:color="auto" w:fill="FFFFFF"/>
            <w:vAlign w:val="center"/>
          </w:tcPr>
          <w:p w14:paraId="14DCB9E5" w14:textId="77777777" w:rsidR="00F2494B" w:rsidRPr="003054D4" w:rsidRDefault="00000000" w:rsidP="001D5261">
            <w:pPr>
              <w:tabs>
                <w:tab w:val="left" w:pos="24"/>
              </w:tabs>
              <w:spacing w:before="80" w:after="80" w:line="240" w:lineRule="auto"/>
              <w:rPr>
                <w:sz w:val="24"/>
                <w:szCs w:val="24"/>
              </w:rPr>
            </w:pPr>
            <w:r>
              <w:rPr>
                <w:sz w:val="20"/>
                <w:szCs w:val="24"/>
              </w:rPr>
              <w:t>Majority vote</w:t>
            </w:r>
          </w:p>
        </w:tc>
        <w:tc>
          <w:tcPr>
            <w:tcW w:w="1668" w:type="pct"/>
            <w:shd w:val="clear" w:color="auto" w:fill="FFFFFF"/>
            <w:vAlign w:val="center"/>
          </w:tcPr>
          <w:p w14:paraId="72D43073" w14:textId="77777777" w:rsidR="00F2494B" w:rsidRPr="003054D4" w:rsidRDefault="00000000" w:rsidP="001D5261">
            <w:pPr>
              <w:tabs>
                <w:tab w:val="left" w:pos="24"/>
              </w:tabs>
              <w:spacing w:before="80" w:after="80" w:line="240" w:lineRule="auto"/>
              <w:rPr>
                <w:sz w:val="24"/>
                <w:szCs w:val="24"/>
              </w:rPr>
            </w:pPr>
            <w:r>
              <w:rPr>
                <w:sz w:val="20"/>
                <w:szCs w:val="24"/>
              </w:rPr>
              <w:t>15,422</w:t>
            </w:r>
          </w:p>
        </w:tc>
        <w:tc>
          <w:tcPr>
            <w:tcW w:w="1669" w:type="pct"/>
            <w:shd w:val="clear" w:color="auto" w:fill="FFFFFF"/>
            <w:vAlign w:val="center"/>
          </w:tcPr>
          <w:p w14:paraId="515396B3" w14:textId="77777777" w:rsidR="00F2494B" w:rsidRPr="003054D4" w:rsidRDefault="00000000" w:rsidP="001D5261">
            <w:pPr>
              <w:tabs>
                <w:tab w:val="left" w:pos="24"/>
              </w:tabs>
              <w:spacing w:before="80" w:after="80" w:line="240" w:lineRule="auto"/>
              <w:rPr>
                <w:sz w:val="24"/>
                <w:szCs w:val="24"/>
              </w:rPr>
            </w:pPr>
            <w:r>
              <w:rPr>
                <w:sz w:val="20"/>
                <w:szCs w:val="24"/>
              </w:rPr>
              <w:t>78.23%</w:t>
            </w:r>
          </w:p>
        </w:tc>
      </w:tr>
    </w:tbl>
    <w:p w14:paraId="57A94ADF" w14:textId="77777777" w:rsidR="00295F89" w:rsidRDefault="00000000">
      <w:r>
        <w:t>Source: Mohd Shamsuddin et al. (2024). Percentages are calculated from the 19,714 retained posts.</w:t>
      </w:r>
    </w:p>
    <w:p w14:paraId="14AA1FCF" w14:textId="77777777" w:rsidR="00295F89" w:rsidRDefault="00000000">
      <w:r>
        <w:t>The authors removed 512 of the original 20,226 posts because all three tools gave different labels (Mohd Shamsuddin et al., 2024). The number of neutral posts remained at 15,422. As the total became smaller, the neutral share rose by about two percentage points. Removing disputed posts may also exclude difficult examples, although the published counts do not show what these posts contain. Keeping the posts and each tool’s labels would allow researchers to examine the disagreements directly (Uma et al., 2021).</w:t>
      </w:r>
    </w:p>
    <w:p w14:paraId="5D931706" w14:textId="77777777" w:rsidR="00295F89" w:rsidRDefault="00000000">
      <w:pPr>
        <w:pStyle w:val="Heading1"/>
      </w:pPr>
      <w:r>
        <w:t>5. Evaluating Annotation Reliability</w:t>
      </w:r>
    </w:p>
    <w:p w14:paraId="6EE71E50" w14:textId="77777777" w:rsidR="00295F89" w:rsidRDefault="00000000">
      <w:r>
        <w:t>Agreement shows how consistently annotators use labels, but it does not guarantee that the labels are correct. Two annotators may agree because they make the same mistake. Cohen’s κ compares their observed agreement with the agreement expected from how often each uses each label (Cohen, 1960). Artstein and Poesio (2008) discuss commonly used guidance that treats agreement values above 0.8 as reliable and values from 0.67 to 0.8 as supporting tentative conclusions. Such ranges should be treated as guidance, rather than fixed rules for every task or coefficient. The task, annotators and label distributions must also be considered.</w:t>
      </w:r>
    </w:p>
    <w:p w14:paraId="3382DACD" w14:textId="77777777" w:rsidR="00295F89" w:rsidRDefault="00000000">
      <w:r>
        <w:t>Class imbalance occurs when some labels are much more common than others. It can affect κ even when the percentage of matching labels remains the same. Di Eugenio and Glass (2004) give two binary examples with 90% observed agreement in both. However, κ differs from −0.048 to 0.80 because the category distributions differ. This shows why the percentage of agreement and κ need to be examined together.</w:t>
      </w:r>
    </w:p>
    <w:p w14:paraId="3E10A824" w14:textId="77777777" w:rsidR="00295F89" w:rsidRDefault="00000000">
      <w:r>
        <w:t>For a dataset dominated by neutral labels, researchers should report overall agreement and examine agreement for each class. The final class totals may suggest an imbalance, but calculating κ requires the individual annotators’ labels. A single coefficient or a set of final class counts cannot provide a complete account of reliability.</w:t>
      </w:r>
    </w:p>
    <w:p w14:paraId="200F335D" w14:textId="77777777" w:rsidR="00295F89" w:rsidRDefault="00000000">
      <w:pPr>
        <w:keepNext/>
      </w:pPr>
      <w:r>
        <w:t>Table 2. Reliability evidence reported for the reviewed resources</w:t>
      </w:r>
    </w:p>
    <w:tbl>
      <w:tblPr>
        <w:tblStyle w:val="TableGrid"/>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00" w:firstRow="0" w:lastRow="0" w:firstColumn="0" w:lastColumn="0" w:noHBand="0" w:noVBand="1"/>
      </w:tblPr>
      <w:tblGrid>
        <w:gridCol w:w="2682"/>
        <w:gridCol w:w="3009"/>
        <w:gridCol w:w="3984"/>
      </w:tblGrid>
      <w:tr w:rsidR="00EA4E1F" w:rsidRPr="003054D4" w14:paraId="0B3A4540" w14:textId="77777777" w:rsidTr="00EA4E1F">
        <w:trPr>
          <w:tblHeader/>
          <w:jc w:val="center"/>
        </w:trPr>
        <w:tc>
          <w:tcPr>
            <w:tcW w:w="1386" w:type="pct"/>
            <w:shd w:val="clear" w:color="auto" w:fill="EDEDED"/>
            <w:vAlign w:val="center"/>
          </w:tcPr>
          <w:p w14:paraId="023238CD" w14:textId="77777777" w:rsidR="00F2494B" w:rsidRPr="00EA4E1F" w:rsidRDefault="00000000" w:rsidP="00EA4E1F">
            <w:pPr>
              <w:tabs>
                <w:tab w:val="left" w:pos="24"/>
              </w:tabs>
              <w:spacing w:before="80" w:after="80" w:line="240" w:lineRule="auto"/>
              <w:rPr>
                <w:b/>
                <w:color w:val="FFFFFF"/>
                <w:sz w:val="24"/>
                <w:szCs w:val="24"/>
              </w:rPr>
            </w:pPr>
            <w:r>
              <w:rPr>
                <w:b/>
                <w:sz w:val="20"/>
                <w:szCs w:val="24"/>
              </w:rPr>
              <w:t>Resource</w:t>
            </w:r>
          </w:p>
        </w:tc>
        <w:tc>
          <w:tcPr>
            <w:tcW w:w="1555" w:type="pct"/>
            <w:shd w:val="clear" w:color="auto" w:fill="EDEDED"/>
            <w:vAlign w:val="center"/>
          </w:tcPr>
          <w:p w14:paraId="5BB9C4EC" w14:textId="77777777" w:rsidR="00F2494B" w:rsidRPr="00EA4E1F" w:rsidRDefault="00000000" w:rsidP="00EA4E1F">
            <w:pPr>
              <w:tabs>
                <w:tab w:val="left" w:pos="24"/>
              </w:tabs>
              <w:spacing w:before="80" w:after="80" w:line="240" w:lineRule="auto"/>
              <w:rPr>
                <w:b/>
                <w:color w:val="FFFFFF"/>
                <w:sz w:val="24"/>
                <w:szCs w:val="24"/>
              </w:rPr>
            </w:pPr>
            <w:r>
              <w:rPr>
                <w:b/>
                <w:sz w:val="20"/>
                <w:szCs w:val="24"/>
              </w:rPr>
              <w:t>Annotation evidence</w:t>
            </w:r>
          </w:p>
        </w:tc>
        <w:tc>
          <w:tcPr>
            <w:tcW w:w="2059" w:type="pct"/>
            <w:shd w:val="clear" w:color="auto" w:fill="EDEDED"/>
            <w:vAlign w:val="center"/>
          </w:tcPr>
          <w:p w14:paraId="00C47146" w14:textId="77777777" w:rsidR="00F2494B" w:rsidRPr="00EA4E1F" w:rsidRDefault="00000000" w:rsidP="00EA4E1F">
            <w:pPr>
              <w:tabs>
                <w:tab w:val="left" w:pos="24"/>
              </w:tabs>
              <w:spacing w:before="80" w:after="80" w:line="240" w:lineRule="auto"/>
              <w:rPr>
                <w:b/>
                <w:color w:val="FFFFFF"/>
                <w:sz w:val="24"/>
                <w:szCs w:val="24"/>
              </w:rPr>
            </w:pPr>
            <w:r>
              <w:rPr>
                <w:b/>
                <w:sz w:val="20"/>
                <w:szCs w:val="24"/>
              </w:rPr>
              <w:t>Scope and limitation</w:t>
            </w:r>
          </w:p>
        </w:tc>
      </w:tr>
      <w:tr w:rsidR="00EA4E1F" w:rsidRPr="003054D4" w14:paraId="5395916B" w14:textId="77777777" w:rsidTr="00EA4E1F">
        <w:trPr>
          <w:jc w:val="center"/>
        </w:trPr>
        <w:tc>
          <w:tcPr>
            <w:tcW w:w="1386" w:type="pct"/>
            <w:shd w:val="clear" w:color="auto" w:fill="FFFFFF"/>
            <w:vAlign w:val="center"/>
          </w:tcPr>
          <w:p w14:paraId="557F7248" w14:textId="77777777" w:rsidR="00F2494B" w:rsidRPr="00EA4E1F" w:rsidRDefault="00000000" w:rsidP="00EA4E1F">
            <w:pPr>
              <w:tabs>
                <w:tab w:val="left" w:pos="24"/>
              </w:tabs>
              <w:spacing w:before="80" w:after="80" w:line="240" w:lineRule="auto"/>
              <w:rPr>
                <w:b/>
                <w:color w:val="FFFFFF"/>
                <w:sz w:val="24"/>
                <w:szCs w:val="24"/>
              </w:rPr>
            </w:pPr>
            <w:r>
              <w:rPr>
                <w:sz w:val="20"/>
                <w:szCs w:val="24"/>
              </w:rPr>
              <w:t>MY-EN-CS</w:t>
            </w:r>
            <w:r>
              <w:rPr>
                <w:sz w:val="20"/>
                <w:szCs w:val="24"/>
              </w:rPr>
              <w:br/>
            </w:r>
            <w:proofErr w:type="spellStart"/>
            <w:r>
              <w:rPr>
                <w:sz w:val="20"/>
                <w:szCs w:val="24"/>
              </w:rPr>
              <w:t>Kasmuri</w:t>
            </w:r>
            <w:proofErr w:type="spellEnd"/>
            <w:r>
              <w:rPr>
                <w:sz w:val="20"/>
                <w:szCs w:val="24"/>
              </w:rPr>
              <w:t xml:space="preserve"> and </w:t>
            </w:r>
            <w:proofErr w:type="spellStart"/>
            <w:r>
              <w:rPr>
                <w:sz w:val="20"/>
                <w:szCs w:val="24"/>
              </w:rPr>
              <w:t>Basiron</w:t>
            </w:r>
            <w:proofErr w:type="spellEnd"/>
            <w:r>
              <w:rPr>
                <w:sz w:val="20"/>
                <w:szCs w:val="24"/>
              </w:rPr>
              <w:t xml:space="preserve"> (2019)</w:t>
            </w:r>
          </w:p>
        </w:tc>
        <w:tc>
          <w:tcPr>
            <w:tcW w:w="1555" w:type="pct"/>
            <w:shd w:val="clear" w:color="auto" w:fill="FFFFFF"/>
            <w:vAlign w:val="center"/>
          </w:tcPr>
          <w:p w14:paraId="155004D2" w14:textId="77777777" w:rsidR="00F2494B" w:rsidRPr="00EA4E1F" w:rsidRDefault="00000000" w:rsidP="00EA4E1F">
            <w:pPr>
              <w:tabs>
                <w:tab w:val="left" w:pos="24"/>
              </w:tabs>
              <w:spacing w:before="80" w:after="80" w:line="240" w:lineRule="auto"/>
              <w:rPr>
                <w:sz w:val="24"/>
                <w:szCs w:val="24"/>
              </w:rPr>
            </w:pPr>
            <w:r>
              <w:rPr>
                <w:sz w:val="20"/>
                <w:szCs w:val="24"/>
              </w:rPr>
              <w:t>Two bilingual undergraduates; written guideline; κ = 0.83.</w:t>
            </w:r>
          </w:p>
        </w:tc>
        <w:tc>
          <w:tcPr>
            <w:tcW w:w="2059" w:type="pct"/>
            <w:shd w:val="clear" w:color="auto" w:fill="FFFFFF"/>
            <w:vAlign w:val="center"/>
          </w:tcPr>
          <w:p w14:paraId="39D5A130" w14:textId="77777777" w:rsidR="00F2494B" w:rsidRPr="00EA4E1F" w:rsidRDefault="00000000" w:rsidP="00EA4E1F">
            <w:pPr>
              <w:tabs>
                <w:tab w:val="left" w:pos="24"/>
              </w:tabs>
              <w:spacing w:before="80" w:after="80" w:line="240" w:lineRule="auto"/>
              <w:rPr>
                <w:sz w:val="24"/>
                <w:szCs w:val="24"/>
              </w:rPr>
            </w:pPr>
            <w:r>
              <w:rPr>
                <w:sz w:val="20"/>
                <w:szCs w:val="24"/>
              </w:rPr>
              <w:t>Opinionated versus factual judgement. Does not establish three-class polarity agreement.</w:t>
            </w:r>
          </w:p>
        </w:tc>
      </w:tr>
      <w:tr w:rsidR="00D540FD" w:rsidRPr="003054D4" w14:paraId="0443C4D5" w14:textId="77777777" w:rsidTr="00D540FD">
        <w:trPr>
          <w:jc w:val="center"/>
        </w:trPr>
        <w:tc>
          <w:tcPr>
            <w:tcW w:w="1386" w:type="pct"/>
            <w:shd w:val="clear" w:color="auto" w:fill="FFFFFF"/>
            <w:vAlign w:val="center"/>
          </w:tcPr>
          <w:p w14:paraId="2BF88DB0" w14:textId="77777777" w:rsidR="00F2494B" w:rsidRDefault="00000000" w:rsidP="00D540FD">
            <w:pPr>
              <w:tabs>
                <w:tab w:val="left" w:pos="24"/>
              </w:tabs>
              <w:spacing w:before="80" w:after="80" w:line="240" w:lineRule="auto"/>
              <w:rPr>
                <w:sz w:val="24"/>
                <w:szCs w:val="24"/>
              </w:rPr>
            </w:pPr>
            <w:proofErr w:type="spellStart"/>
            <w:r>
              <w:rPr>
                <w:sz w:val="20"/>
                <w:szCs w:val="24"/>
              </w:rPr>
              <w:t>SentiBahasaRojak</w:t>
            </w:r>
            <w:proofErr w:type="spellEnd"/>
            <w:r>
              <w:rPr>
                <w:sz w:val="20"/>
                <w:szCs w:val="24"/>
              </w:rPr>
              <w:br/>
            </w:r>
            <w:proofErr w:type="spellStart"/>
            <w:r>
              <w:rPr>
                <w:sz w:val="20"/>
                <w:szCs w:val="24"/>
              </w:rPr>
              <w:t>Romadhona</w:t>
            </w:r>
            <w:proofErr w:type="spellEnd"/>
            <w:r>
              <w:rPr>
                <w:sz w:val="20"/>
                <w:szCs w:val="24"/>
              </w:rPr>
              <w:t xml:space="preserve"> et al. (2022)</w:t>
            </w:r>
          </w:p>
        </w:tc>
        <w:tc>
          <w:tcPr>
            <w:tcW w:w="1555" w:type="pct"/>
            <w:shd w:val="clear" w:color="auto" w:fill="FFFFFF"/>
            <w:vAlign w:val="center"/>
          </w:tcPr>
          <w:p w14:paraId="79606E47" w14:textId="77777777" w:rsidR="00F2494B" w:rsidRDefault="00000000" w:rsidP="00D540FD">
            <w:pPr>
              <w:tabs>
                <w:tab w:val="left" w:pos="24"/>
              </w:tabs>
              <w:spacing w:before="80" w:after="80" w:line="240" w:lineRule="auto"/>
              <w:rPr>
                <w:sz w:val="24"/>
                <w:szCs w:val="24"/>
              </w:rPr>
            </w:pPr>
            <w:r>
              <w:rPr>
                <w:sz w:val="20"/>
                <w:szCs w:val="24"/>
              </w:rPr>
              <w:t>Five experts labelled stock posts; reported kappa = 0.77.</w:t>
            </w:r>
          </w:p>
        </w:tc>
        <w:tc>
          <w:tcPr>
            <w:tcW w:w="2059" w:type="pct"/>
            <w:shd w:val="clear" w:color="auto" w:fill="FFFFFF"/>
            <w:vAlign w:val="center"/>
          </w:tcPr>
          <w:p w14:paraId="037395BA" w14:textId="77777777" w:rsidR="00F2494B" w:rsidRDefault="00000000" w:rsidP="00D540FD">
            <w:pPr>
              <w:tabs>
                <w:tab w:val="left" w:pos="24"/>
              </w:tabs>
              <w:spacing w:before="80" w:after="80" w:line="240" w:lineRule="auto"/>
              <w:rPr>
                <w:sz w:val="24"/>
                <w:szCs w:val="24"/>
              </w:rPr>
            </w:pPr>
            <w:r>
              <w:rPr>
                <w:sz w:val="20"/>
                <w:szCs w:val="24"/>
              </w:rPr>
              <w:t>Positive versus negative stock labels; coefficient variant unspecified. Other subsets were generated automatically.</w:t>
            </w:r>
          </w:p>
        </w:tc>
      </w:tr>
      <w:tr w:rsidR="00D540FD" w:rsidRPr="003054D4" w14:paraId="4D479326" w14:textId="77777777" w:rsidTr="00D540FD">
        <w:trPr>
          <w:jc w:val="center"/>
        </w:trPr>
        <w:tc>
          <w:tcPr>
            <w:tcW w:w="1386" w:type="pct"/>
            <w:shd w:val="clear" w:color="auto" w:fill="FFFFFF"/>
            <w:vAlign w:val="center"/>
          </w:tcPr>
          <w:p w14:paraId="36E2E510" w14:textId="77777777" w:rsidR="00F2494B" w:rsidRPr="00EA4E1F" w:rsidRDefault="00000000" w:rsidP="00D540FD">
            <w:pPr>
              <w:tabs>
                <w:tab w:val="left" w:pos="24"/>
              </w:tabs>
              <w:spacing w:before="80" w:after="80" w:line="240" w:lineRule="auto"/>
              <w:rPr>
                <w:b/>
                <w:color w:val="FFFFFF"/>
                <w:sz w:val="24"/>
                <w:szCs w:val="24"/>
              </w:rPr>
            </w:pPr>
            <w:proofErr w:type="spellStart"/>
            <w:r>
              <w:rPr>
                <w:sz w:val="20"/>
                <w:szCs w:val="24"/>
              </w:rPr>
              <w:t>MyCovid</w:t>
            </w:r>
            <w:proofErr w:type="spellEnd"/>
            <w:r>
              <w:rPr>
                <w:sz w:val="20"/>
                <w:szCs w:val="24"/>
              </w:rPr>
              <w:t>-Senti</w:t>
            </w:r>
            <w:r>
              <w:rPr>
                <w:sz w:val="20"/>
                <w:szCs w:val="24"/>
              </w:rPr>
              <w:br/>
              <w:t>Kong et al. (2023)</w:t>
            </w:r>
          </w:p>
        </w:tc>
        <w:tc>
          <w:tcPr>
            <w:tcW w:w="1555" w:type="pct"/>
            <w:shd w:val="clear" w:color="auto" w:fill="FFFFFF"/>
            <w:vAlign w:val="center"/>
          </w:tcPr>
          <w:p w14:paraId="397A6DCE" w14:textId="77777777" w:rsidR="00F2494B" w:rsidRPr="00EA4E1F" w:rsidRDefault="00000000" w:rsidP="00D540FD">
            <w:pPr>
              <w:tabs>
                <w:tab w:val="left" w:pos="24"/>
              </w:tabs>
              <w:spacing w:before="80" w:after="80" w:line="240" w:lineRule="auto"/>
              <w:rPr>
                <w:sz w:val="24"/>
                <w:szCs w:val="24"/>
              </w:rPr>
            </w:pPr>
            <w:r>
              <w:rPr>
                <w:sz w:val="20"/>
                <w:szCs w:val="24"/>
              </w:rPr>
              <w:t>Three independent annotators; written guideline.</w:t>
            </w:r>
          </w:p>
        </w:tc>
        <w:tc>
          <w:tcPr>
            <w:tcW w:w="2059" w:type="pct"/>
            <w:shd w:val="clear" w:color="auto" w:fill="FFFFFF"/>
            <w:vAlign w:val="center"/>
          </w:tcPr>
          <w:p w14:paraId="28D34D42" w14:textId="77777777" w:rsidR="00F2494B" w:rsidRPr="00EA4E1F" w:rsidRDefault="00000000" w:rsidP="00D540FD">
            <w:pPr>
              <w:tabs>
                <w:tab w:val="left" w:pos="24"/>
              </w:tabs>
              <w:spacing w:before="80" w:after="80" w:line="240" w:lineRule="auto"/>
              <w:rPr>
                <w:sz w:val="24"/>
                <w:szCs w:val="24"/>
              </w:rPr>
            </w:pPr>
            <w:r>
              <w:rPr>
                <w:sz w:val="20"/>
                <w:szCs w:val="24"/>
              </w:rPr>
              <w:t>Three-class sentiment labels; no agreement coefficient reported.</w:t>
            </w:r>
          </w:p>
        </w:tc>
      </w:tr>
      <w:tr w:rsidR="00D540FD" w:rsidRPr="003054D4" w14:paraId="19FE32B0" w14:textId="77777777" w:rsidTr="00D540FD">
        <w:trPr>
          <w:jc w:val="center"/>
        </w:trPr>
        <w:tc>
          <w:tcPr>
            <w:tcW w:w="1386" w:type="pct"/>
            <w:shd w:val="clear" w:color="auto" w:fill="FFFFFF"/>
            <w:vAlign w:val="center"/>
          </w:tcPr>
          <w:p w14:paraId="4DE4FF28" w14:textId="77777777" w:rsidR="00F2494B" w:rsidRPr="00EA4E1F" w:rsidRDefault="00000000" w:rsidP="00D540FD">
            <w:pPr>
              <w:tabs>
                <w:tab w:val="left" w:pos="24"/>
              </w:tabs>
              <w:spacing w:before="80" w:after="80" w:line="240" w:lineRule="auto"/>
              <w:rPr>
                <w:sz w:val="24"/>
                <w:szCs w:val="24"/>
              </w:rPr>
            </w:pPr>
            <w:proofErr w:type="spellStart"/>
            <w:r>
              <w:rPr>
                <w:sz w:val="20"/>
                <w:szCs w:val="24"/>
              </w:rPr>
              <w:lastRenderedPageBreak/>
              <w:t>MESocSentiment</w:t>
            </w:r>
            <w:proofErr w:type="spellEnd"/>
            <w:r>
              <w:rPr>
                <w:sz w:val="20"/>
                <w:szCs w:val="24"/>
              </w:rPr>
              <w:br/>
              <w:t>Mohd Shamsuddin et al. (2024)</w:t>
            </w:r>
          </w:p>
        </w:tc>
        <w:tc>
          <w:tcPr>
            <w:tcW w:w="1555" w:type="pct"/>
            <w:shd w:val="clear" w:color="auto" w:fill="FFFFFF"/>
            <w:vAlign w:val="center"/>
          </w:tcPr>
          <w:p w14:paraId="651D8004" w14:textId="77777777" w:rsidR="00F2494B" w:rsidRPr="00EA4E1F" w:rsidRDefault="00000000" w:rsidP="00D540FD">
            <w:pPr>
              <w:tabs>
                <w:tab w:val="left" w:pos="24"/>
              </w:tabs>
              <w:spacing w:before="80" w:after="80" w:line="240" w:lineRule="auto"/>
              <w:rPr>
                <w:sz w:val="24"/>
                <w:szCs w:val="24"/>
              </w:rPr>
            </w:pPr>
            <w:r>
              <w:rPr>
                <w:sz w:val="20"/>
                <w:szCs w:val="24"/>
              </w:rPr>
              <w:t xml:space="preserve">Majority vote among three automatic </w:t>
            </w:r>
            <w:proofErr w:type="spellStart"/>
            <w:r>
              <w:rPr>
                <w:sz w:val="20"/>
                <w:szCs w:val="24"/>
              </w:rPr>
              <w:t>analysers</w:t>
            </w:r>
            <w:proofErr w:type="spellEnd"/>
            <w:r>
              <w:rPr>
                <w:sz w:val="20"/>
                <w:szCs w:val="24"/>
              </w:rPr>
              <w:t>.</w:t>
            </w:r>
          </w:p>
        </w:tc>
        <w:tc>
          <w:tcPr>
            <w:tcW w:w="2059" w:type="pct"/>
            <w:shd w:val="clear" w:color="auto" w:fill="FFFFFF"/>
            <w:vAlign w:val="center"/>
          </w:tcPr>
          <w:p w14:paraId="37C4F52B" w14:textId="77777777" w:rsidR="00F2494B" w:rsidRPr="00EA4E1F" w:rsidRDefault="00000000" w:rsidP="00D540FD">
            <w:pPr>
              <w:tabs>
                <w:tab w:val="left" w:pos="24"/>
              </w:tabs>
              <w:spacing w:before="80" w:after="80" w:line="240" w:lineRule="auto"/>
              <w:rPr>
                <w:sz w:val="24"/>
                <w:szCs w:val="24"/>
              </w:rPr>
            </w:pPr>
            <w:r>
              <w:rPr>
                <w:sz w:val="20"/>
                <w:szCs w:val="24"/>
              </w:rPr>
              <w:t>No human inter-annotator agreement coefficient reported.</w:t>
            </w:r>
          </w:p>
        </w:tc>
      </w:tr>
    </w:tbl>
    <w:p w14:paraId="47EB4907" w14:textId="77777777" w:rsidR="00295F89" w:rsidRDefault="00000000">
      <w:r>
        <w:t>Table 2 shows what evidence is available and what remains untested. It does not establish that all four resources are unreliable. MyCovid-Senti and MESocSentiment report no agreement coefficient. The agreement results for MY-EN-CS and SentiBahasaRojak concern two-category tasks, so they do not establish agreement for positive, negative and neutral labelling. SentiBahasaRojak also used five experts and majority voting, whereas Cohen’s κ is defined for two annotators (Romadhona et al., 2022). When a study involves more than two annotators, it should identify the coefficient or variant used and explain the calculation.</w:t>
      </w:r>
    </w:p>
    <w:p w14:paraId="285D6923" w14:textId="77777777" w:rsidR="00295F89" w:rsidRDefault="00000000">
      <w:pPr>
        <w:pStyle w:val="Heading1"/>
      </w:pPr>
      <w:r>
        <w:t>6. Research Priorities</w:t>
      </w:r>
    </w:p>
    <w:p w14:paraId="22972428" w14:textId="77777777" w:rsidR="00295F89" w:rsidRDefault="00000000">
      <w:r>
        <w:t>The reviewed studies do not always give the same attention to checking labels as they give to producing them. The following discussion explains how the problems are connected and sets out four priorities for improving annotation and evaluation.</w:t>
      </w:r>
    </w:p>
    <w:p w14:paraId="1B52CE1A" w14:textId="77777777" w:rsidR="00295F89" w:rsidRDefault="00000000">
      <w:pPr>
        <w:pStyle w:val="Heading2"/>
      </w:pPr>
      <w:r>
        <w:t>6.1 How the challenges interact</w:t>
      </w:r>
    </w:p>
    <w:p w14:paraId="52B97E6E" w14:textId="77777777" w:rsidR="00295F89" w:rsidRDefault="00000000">
      <w:r>
        <w:t>Language difficulties can affect the entire annotation process. A tool may miss a Malay expression because of its spelling, while a particle may require context to interpret. Bilingual annotators can use local knowledge, but manual annotation is costly. Mohd Shamsuddin et al. (2024) give this cost as a reason for using automation. However, tools developed for other languages may have limited coverage of Malay expressions, as the discussion of VADER illustrates (Hutto and Gilbert, 2014). If several tools miss the same expression, majority voting can keep the incorrect label. Some opinionated posts may then be counted as neutral.</w:t>
      </w:r>
    </w:p>
    <w:p w14:paraId="31342AA3" w14:textId="77777777" w:rsidR="00295F89" w:rsidRDefault="00000000">
      <w:r>
        <w:t>If one label becomes much more common than the others, agreement results can also become harder to interpret (Feinstein and Cicchetti, 1990; Byrt et al., 1993). Researchers may find it difficult to tell whether a low κ reflects poor annotation or the effect of class imbalance. Incorrect labels can then affect model training by teaching the model the wrong patterns (Frénay and Verleysen, 2014). If that model is later used to label more data, the errors may be repeated.</w:t>
      </w:r>
    </w:p>
    <w:p w14:paraId="39547F8A" w14:textId="77777777" w:rsidR="00295F89" w:rsidRDefault="00000000">
      <w:r>
        <w:t>Improving this process requires checks at several stages. Models need suitable training labels, and agreement measures need to be interpreted alongside the label distributions. The priorities below address how labels are produced, checked and retained for later analysis.</w:t>
      </w:r>
    </w:p>
    <w:p w14:paraId="79ADA02E" w14:textId="77777777" w:rsidR="00295F89" w:rsidRDefault="00000000">
      <w:pPr>
        <w:pStyle w:val="Heading2"/>
      </w:pPr>
      <w:r>
        <w:t>6.2 Report how labels were produced</w:t>
      </w:r>
    </w:p>
    <w:p w14:paraId="14E6F6C1" w14:textId="77777777" w:rsidR="00295F89" w:rsidRDefault="00000000">
      <w:r>
        <w:t>Dataset releases should explain who or what assigned the labels and include the annotation guidelines. They should also state the task and the agreement measure used. Data statements can describe the people and conditions represented by a dataset, helping readers judge where it can be used (Bender and Friedman, 2018). Researchers should report class distributions and agreement by class, and retain individual labels and discarded items. Individual annotations allow later studies to examine differences between annotators instead of relying only on the majority label (Mostafazadeh Davani et al., 2022).</w:t>
      </w:r>
    </w:p>
    <w:p w14:paraId="7B950F45" w14:textId="77777777" w:rsidR="00295F89" w:rsidRDefault="00000000">
      <w:pPr>
        <w:pStyle w:val="Heading2"/>
      </w:pPr>
      <w:r>
        <w:t>6.3 Evaluate agreement under class imbalance</w:t>
      </w:r>
    </w:p>
    <w:p w14:paraId="2077BD02" w14:textId="77777777" w:rsidR="00295F89" w:rsidRDefault="00000000">
      <w:r>
        <w:t xml:space="preserve">Future studies should examine how agreement results change when the proportions of positive, negative and neutral labels vary. This requires data that retain each annotator’s labels. One option to investigate is prevalence adjustment, which changes the calculation of chance agreement to reduce the effect of unequal class frequencies (Byrt et al., 1993). Researchers still need to check its assumptions and whether it suits three-class sentiment annotation. An adjustment is not automatically appropriate for every task (Di </w:t>
      </w:r>
      <w:r>
        <w:lastRenderedPageBreak/>
        <w:t>Eugenio and Glass, 2004). Datasets that keep only final labels would need further annotation before these analyses could be carried out.</w:t>
      </w:r>
    </w:p>
    <w:p w14:paraId="2C9AC1C8" w14:textId="77777777" w:rsidR="00295F89" w:rsidRDefault="00000000">
      <w:pPr>
        <w:pStyle w:val="Heading2"/>
      </w:pPr>
      <w:r>
        <w:t>6.4 Develop guidance for particles and ambiguity</w:t>
      </w:r>
    </w:p>
    <w:p w14:paraId="4808D725" w14:textId="77777777" w:rsidR="00295F89" w:rsidRDefault="00000000">
      <w:r>
        <w:t>Guidelines should include examples showing how context affects particles such as lah and kan. Mohammad (2016) distinguishes the speaker, the target of the opinion and the attitude expressed. Kong et al. (2023) adapt this approach for Malaysian tweets. Malay-English guidelines could build on it by adding local particle examples and explaining how to record cases that remain unclear. This would help reduce disagreements caused by unclear instructions while allowing reasonable differences in interpretation.</w:t>
      </w:r>
    </w:p>
    <w:p w14:paraId="163276D8" w14:textId="77777777" w:rsidR="00295F89" w:rsidRDefault="00000000">
      <w:pPr>
        <w:pStyle w:val="Heading2"/>
      </w:pPr>
      <w:r>
        <w:t>6.5 Test whether annotators share errors</w:t>
      </w:r>
    </w:p>
    <w:p w14:paraId="2905EC20" w14:textId="77777777" w:rsidR="00295F89" w:rsidRDefault="00000000">
      <w:r>
        <w:t>Future studies should ask bilingual annotators, existing sentiment tools and generative models to label the same Malay-English sample. A separate group of bilingual reviewers could independently assign reference labels and explain disagreements. Where several interpretations are reasonable, the competing labels should be kept. Weber and Plank (2023) show that human review can improve the detection of annotation errors. In English textual inference, Weber-Genzel et al. (2024) use explanations and later validity judgements to distinguish mistakes from reasonable variation. A similar approach could be tested for Malay-English sentiment. It would help establish whether majority voting reduces errors or keeps mistakes shared by several annotators.</w:t>
      </w:r>
    </w:p>
    <w:p w14:paraId="63404F2E" w14:textId="77777777" w:rsidR="00295F89" w:rsidRDefault="00000000">
      <w:pPr>
        <w:pStyle w:val="Heading1"/>
      </w:pPr>
      <w:r>
        <w:t>7. Conclusion</w:t>
      </w:r>
    </w:p>
    <w:p w14:paraId="352A8375" w14:textId="77777777" w:rsidR="00295F89" w:rsidRDefault="00000000">
      <w:r>
        <w:t>The four resources reviewed here provide useful Malay-English data, but the evidence supporting their label quality remains incomplete. Some studies do not report agreement, while others report it for a different task or only part of the dataset. Published MESocSentiment examples also show that automatic tools can miss positive Malay expressions. This does not establish the overall error rate, but it shows why further validation is needed. Future studies should explain their annotation procedures, provide guidance for context-dependent expressions, and retain individual labels. They should also examine agreement under class imbalance and check whether annotators make the same mistakes. These steps would give researchers a clearer basis for judging whether the labels are suitable for training and evaluation.</w:t>
      </w:r>
    </w:p>
    <w:p w14:paraId="3B0200FC" w14:textId="77777777" w:rsidR="00295F89" w:rsidRDefault="00000000">
      <w:pPr>
        <w:pStyle w:val="Heading1"/>
      </w:pPr>
      <w:r>
        <w:t>References</w:t>
      </w:r>
    </w:p>
    <w:p w14:paraId="56ECA973" w14:textId="77777777" w:rsidR="00295F89" w:rsidRDefault="00000000">
      <w:pPr>
        <w:spacing w:after="100" w:line="240" w:lineRule="auto"/>
        <w:ind w:left="360" w:hanging="360"/>
      </w:pPr>
      <w:r>
        <w:t>Abu Bakar, M. F. R., Idris, N., Shuib, L., and Khamis, N. (2020). Sentiment analysis of noisy Malay text: State of art, challenges and future work. IEEE Access, 8, 24687–24696. https://doi.org/10.1109/ACCESS.2020.2968955</w:t>
      </w:r>
    </w:p>
    <w:p w14:paraId="502D7BD1" w14:textId="77777777" w:rsidR="00295F89" w:rsidRDefault="00000000">
      <w:pPr>
        <w:spacing w:after="100" w:line="240" w:lineRule="auto"/>
        <w:ind w:left="360" w:hanging="360"/>
      </w:pPr>
      <w:r>
        <w:t>Adilazuarda, M. F., Cahyawijaya, S., Winata, G. I., Fung, P., and Purwarianti, A. (2022). IndoRobusta: Towards robustness against diverse code-mixed Indonesian local languages. Proceedings of the First Workshop on Scaling Up Multilingual Evaluation (SUMEval), 25–34.</w:t>
      </w:r>
    </w:p>
    <w:p w14:paraId="7BF3CEFF" w14:textId="77777777" w:rsidR="00295F89" w:rsidRDefault="00000000">
      <w:pPr>
        <w:spacing w:after="100" w:line="240" w:lineRule="auto"/>
        <w:ind w:left="360" w:hanging="360"/>
      </w:pPr>
      <w:r>
        <w:t>AlAfnan, M. A., MohdZuki, S. F., and AlAfnan, S. M. (2025). Blending identities: Exploring the linguistic, cultural, and pragmatic dimensions of Manglish in the Malaysian society. Studies in Media and Communication, 13(3). https://doi.org/10.11114/smc.v13i3.7654</w:t>
      </w:r>
    </w:p>
    <w:p w14:paraId="5359172E" w14:textId="77777777" w:rsidR="00295F89" w:rsidRDefault="00000000">
      <w:pPr>
        <w:spacing w:after="100" w:line="240" w:lineRule="auto"/>
        <w:ind w:left="360" w:hanging="360"/>
      </w:pPr>
      <w:r>
        <w:t>Artstein, R., and Poesio, M. (2008). Survey article: Inter-coder agreement for computational linguistics. Computational Linguistics, 34(4), 555–596. https://doi.org/10.1162/coli.07-034-R2</w:t>
      </w:r>
    </w:p>
    <w:p w14:paraId="1BDB1402" w14:textId="77777777" w:rsidR="00295F89" w:rsidRDefault="00000000">
      <w:pPr>
        <w:spacing w:after="100" w:line="240" w:lineRule="auto"/>
        <w:ind w:left="360" w:hanging="360"/>
      </w:pPr>
      <w:r>
        <w:t>Bender, E. M., and Friedman, B. (2018). Data statements for natural language processing: Toward mitigating system bias and enabling better science. Transactions of the Association for Computational Linguistics, 6, 587–604. https://doi.org/10.1162/tacl_a_00041</w:t>
      </w:r>
    </w:p>
    <w:p w14:paraId="3E9B5177" w14:textId="77777777" w:rsidR="00295F89" w:rsidRDefault="00000000">
      <w:pPr>
        <w:spacing w:after="100" w:line="240" w:lineRule="auto"/>
        <w:ind w:left="360" w:hanging="360"/>
      </w:pPr>
      <w:r>
        <w:t>Bowman, S. R., and Dahl, G. (2021). What will it take to fix benchmarking in natural language understanding? Proceedings of the 2021 Conference of the North American Chapter of the Association for Computational Linguistics: Human Language Technologies, 4843–4855. https://doi.org/10.18653/v1/2021.naacl-main.385</w:t>
      </w:r>
    </w:p>
    <w:p w14:paraId="679119AB" w14:textId="77777777" w:rsidR="00295F89" w:rsidRDefault="00000000">
      <w:pPr>
        <w:spacing w:after="100" w:line="240" w:lineRule="auto"/>
        <w:ind w:left="360" w:hanging="360"/>
      </w:pPr>
      <w:r>
        <w:lastRenderedPageBreak/>
        <w:t>Byrt, T., Bishop, J., and Carlin, J. B. (1993). Bias, prevalence and kappa. Journal of Clinical Epidemiology, 46(5), 423–429. https://doi.org/10.1016/0895-4356(93)90018-V</w:t>
      </w:r>
    </w:p>
    <w:p w14:paraId="4492B459" w14:textId="77777777" w:rsidR="00295F89" w:rsidRDefault="00000000">
      <w:pPr>
        <w:spacing w:after="100" w:line="240" w:lineRule="auto"/>
        <w:ind w:left="360" w:hanging="360"/>
      </w:pPr>
      <w:r>
        <w:t>Cohen, J. (1960). A coefficient of agreement for nominal scales. Educational and Psychological Measurement, 20(1), 37–46. https://doi.org/10.1177/001316446002000104</w:t>
      </w:r>
    </w:p>
    <w:p w14:paraId="4B1DA481" w14:textId="77777777" w:rsidR="00295F89" w:rsidRDefault="00000000">
      <w:pPr>
        <w:spacing w:after="100" w:line="240" w:lineRule="auto"/>
        <w:ind w:left="360" w:hanging="360"/>
      </w:pPr>
      <w:r>
        <w:t>Conneau, A., Khandelwal, K., Goyal, N., Chaudhary, V., Wenzek, G., Guzmán, F., Grave, E., Ott, M., Zettlemoyer, L., and Stoyanov, V. (2020). Unsupervised cross-lingual representation learning at scale. Proceedings of the 58th Annual Meeting of the Association for Computational Linguistics, 8440–8451. https://doi.org/10.18653/v1/2020.acl-main.747</w:t>
      </w:r>
    </w:p>
    <w:p w14:paraId="4B3CD176" w14:textId="77777777" w:rsidR="00295F89" w:rsidRDefault="00000000">
      <w:pPr>
        <w:spacing w:after="100" w:line="240" w:lineRule="auto"/>
        <w:ind w:left="360" w:hanging="360"/>
      </w:pPr>
      <w: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4171–4186. https://doi.org/10.18653/v1/N19-1423</w:t>
      </w:r>
    </w:p>
    <w:p w14:paraId="773C8B95" w14:textId="77777777" w:rsidR="00295F89" w:rsidRDefault="00000000">
      <w:pPr>
        <w:spacing w:after="100" w:line="240" w:lineRule="auto"/>
        <w:ind w:left="360" w:hanging="360"/>
      </w:pPr>
      <w:r>
        <w:t>Di Eugenio, B., and Glass, M. (2004). The kappa statistic: A second look. Computational Linguistics, 30(1), 95–101. https://doi.org/10.1162/089120104773633402</w:t>
      </w:r>
    </w:p>
    <w:p w14:paraId="68C3CCA9" w14:textId="77777777" w:rsidR="00295F89" w:rsidRDefault="00000000">
      <w:pPr>
        <w:spacing w:after="100" w:line="240" w:lineRule="auto"/>
        <w:ind w:left="360" w:hanging="360"/>
      </w:pPr>
      <w:r>
        <w:t>Doğruöz,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1654–1666. https://doi.org/10.18653/v1/2021.acl-long.131</w:t>
      </w:r>
    </w:p>
    <w:p w14:paraId="3A8F6136" w14:textId="77777777" w:rsidR="00295F89" w:rsidRDefault="00000000">
      <w:pPr>
        <w:spacing w:after="100" w:line="240" w:lineRule="auto"/>
        <w:ind w:left="360" w:hanging="360"/>
      </w:pPr>
      <w:r>
        <w:t>Feinstein, A. R., and Cicchetti, D. V. (1990). High agreement but low kappa: I. The problems of two paradoxes. Journal of Clinical Epidemiology, 43(6), 543–549. https://doi.org/10.1016/0895-4356(90)90158-L</w:t>
      </w:r>
    </w:p>
    <w:p w14:paraId="29912B16" w14:textId="77777777" w:rsidR="00295F89" w:rsidRDefault="00000000">
      <w:pPr>
        <w:spacing w:after="100" w:line="240" w:lineRule="auto"/>
        <w:ind w:left="360" w:hanging="360"/>
      </w:pPr>
      <w:r>
        <w:t>Frénay, B., and Verleysen, M. (2014). Classification in the presence of label noise: A survey. IEEE Transactions on Neural Networks and Learning Systems, 25(5), 845–869. https://doi.org/10.1109/TNNLS.2013.2292894</w:t>
      </w:r>
    </w:p>
    <w:p w14:paraId="412EB5FF" w14:textId="77777777" w:rsidR="00295F89" w:rsidRDefault="00000000">
      <w:pPr>
        <w:spacing w:after="100" w:line="240" w:lineRule="auto"/>
        <w:ind w:left="360" w:hanging="360"/>
      </w:pPr>
      <w:r>
        <w:t>Hovy, D., Berg-Kirkpatrick, T., Vaswani, A., and Hovy, E. (2013). Learning whom to trust with MACE. Proceedings of the 2013 Conference of the North American Chapter of the Association for Computational Linguistics: Human Language Technologies, 1120–1130. https://aclanthology.org/N13-1132/</w:t>
      </w:r>
    </w:p>
    <w:p w14:paraId="3808CAA8" w14:textId="77777777" w:rsidR="00295F89" w:rsidRDefault="00000000">
      <w:pPr>
        <w:spacing w:after="100" w:line="240" w:lineRule="auto"/>
        <w:ind w:left="360" w:hanging="360"/>
      </w:pPr>
      <w:r>
        <w:t>Hutto, C. J., and Gilbert, E. (2014). VADER: A parsimonious rule-based model for sentiment analysis of social media text. Proceedings of the International AAAI Conference on Web and Social Media, 8(1), 216–225.</w:t>
      </w:r>
    </w:p>
    <w:p w14:paraId="445372C3" w14:textId="77777777" w:rsidR="00295F89" w:rsidRDefault="00000000">
      <w:pPr>
        <w:spacing w:after="100" w:line="240" w:lineRule="auto"/>
        <w:ind w:left="360" w:hanging="360"/>
      </w:pPr>
      <w:r>
        <w:t>Jadhav, S., Shanbhag, A., Thakurdesai, A., Sinare, R., and Joshi, R. (2025). On limitations of LLM as annotator for low resource languages. Proceedings of the 8th International Conference on Natural Language and Speech Processing (ICNLSP-2025), 277–282.</w:t>
      </w:r>
    </w:p>
    <w:p w14:paraId="5066739D" w14:textId="77777777" w:rsidR="00295F89" w:rsidRDefault="00000000">
      <w:pPr>
        <w:spacing w:after="100" w:line="240" w:lineRule="auto"/>
        <w:ind w:left="360" w:hanging="360"/>
      </w:pPr>
      <w:r>
        <w:t>Joshi, P., Santy, S., Budhiraja, A., Bali, K., and Choudhury, M. (2020). The state and fate of linguistic diversity and inclusion in the NLP world. Proceedings of the 58th Annual Meeting of the Association for Computational Linguistics, 6282–6293. https://doi.org/10.18653/v1/2020.acl-main.560</w:t>
      </w:r>
    </w:p>
    <w:p w14:paraId="056E2089" w14:textId="77777777" w:rsidR="00295F89" w:rsidRDefault="00000000">
      <w:pPr>
        <w:spacing w:after="100" w:line="240" w:lineRule="auto"/>
        <w:ind w:left="360" w:hanging="360"/>
      </w:pPr>
      <w:r>
        <w:t>Kasmuri, E., and Basiron, H. (2019). Building a Malay-English code-switching subjectivity corpus for sentiment analysis. International Journal of Advanced Soft Computing and Its Applications, 11(1), 112–130.</w:t>
      </w:r>
    </w:p>
    <w:p w14:paraId="6CE2DAB8" w14:textId="77777777" w:rsidR="00295F89" w:rsidRDefault="00000000">
      <w:pPr>
        <w:spacing w:after="100" w:line="240" w:lineRule="auto"/>
        <w:ind w:left="360" w:hanging="360"/>
      </w:pPr>
      <w:r>
        <w:t>Khanuja, S., Dandapat, S., Srinivasan, A., Sitaram, S., and Choudhury, M. (2020). GLUECoS: An evaluation benchmark for code-switched NLP. Proceedings of the 58th Annual Meeting of the Association for Computational Linguistics, 3575–3585. https://doi.org/10.18653/v1/2020.acl-main.329</w:t>
      </w:r>
    </w:p>
    <w:p w14:paraId="55EDB276" w14:textId="77777777" w:rsidR="00295F89" w:rsidRDefault="00000000">
      <w:pPr>
        <w:spacing w:after="100" w:line="240" w:lineRule="auto"/>
        <w:ind w:left="360" w:hanging="360"/>
      </w:pPr>
      <w:r>
        <w:t>Kong, J. T. H., Juwono, F. H., Ngu, I. Y., Nugraha, I. G. D., Maraden, Y., and Wong, W. K. (2023). A mixed Malay-English language COVID-19 Twitter dataset: A sentiment analysis. Big Data and Cognitive Computing, 7(2), 61. https://doi.org/10.3390/bdcc7020061</w:t>
      </w:r>
    </w:p>
    <w:p w14:paraId="1AE44F2E" w14:textId="77777777" w:rsidR="00295F89" w:rsidRDefault="00000000">
      <w:pPr>
        <w:spacing w:after="100" w:line="240" w:lineRule="auto"/>
        <w:ind w:left="360" w:hanging="360"/>
      </w:pPr>
      <w:r>
        <w:t>Maskat, R., and Rahman, N. A. (2020). Categorization of Malay social media text and normalization of spelling variations and vowel-less words. International Journal on Advanced Science, Engineering and Information Technology, 10(4), 1380–1386.</w:t>
      </w:r>
    </w:p>
    <w:p w14:paraId="43BE6A48" w14:textId="6CE5902B" w:rsidR="00295F89" w:rsidRDefault="00000000">
      <w:pPr>
        <w:spacing w:after="100" w:line="240" w:lineRule="auto"/>
        <w:ind w:left="360" w:hanging="360"/>
      </w:pPr>
      <w:r>
        <w:lastRenderedPageBreak/>
        <w:t>Mohammad, S. M. (2016). A practical guide to sentiment annotation: Challenges and solutions. Proceedings of the 7th Workshop on Computational Approaches to Subjectivity, Sentiment and Social Media Analysis (WASSA), 174–179.</w:t>
      </w:r>
      <w:r w:rsidR="00F24FC8">
        <w:t xml:space="preserve"> </w:t>
      </w:r>
      <w:r w:rsidR="00F24FC8" w:rsidRPr="00F24FC8">
        <w:t>https://doi.org/10.18653/v1/W16-0429</w:t>
      </w:r>
    </w:p>
    <w:p w14:paraId="7B002C70" w14:textId="77777777" w:rsidR="00295F89" w:rsidRDefault="00000000">
      <w:pPr>
        <w:spacing w:after="100" w:line="240" w:lineRule="auto"/>
        <w:ind w:left="360" w:hanging="360"/>
      </w:pPr>
      <w:r>
        <w:t>Mohd Shamsuddin, A. M., Samson Juan, S., Chua, S., and Bramantoro, A. (2024). Semi-automatic sentiment identification for Malay-English code-switched data. Journal of Advanced Research Design, 123(1), 198–212. https://doi.org/10.37934/ard.123.1.198212</w:t>
      </w:r>
    </w:p>
    <w:p w14:paraId="50B5AE30" w14:textId="77777777" w:rsidR="00295F89" w:rsidRDefault="00000000">
      <w:pPr>
        <w:spacing w:after="100" w:line="240" w:lineRule="auto"/>
        <w:ind w:left="360" w:hanging="360"/>
      </w:pPr>
      <w:r>
        <w:t>Mostafazadeh Davani, A., Díaz, M., and Prabhakaran, V. (2022). Dealing with disagreements: Looking beyond the majority vote in subjective annotations. Transactions of the Association for Computational Linguistics, 10, 92–110. https://doi.org/10.1162/tacl_a_00449</w:t>
      </w:r>
    </w:p>
    <w:p w14:paraId="64E837AF" w14:textId="77777777" w:rsidR="00295F89" w:rsidRDefault="00000000">
      <w:pPr>
        <w:spacing w:after="100" w:line="240" w:lineRule="auto"/>
        <w:ind w:left="360" w:hanging="360"/>
      </w:pPr>
      <w:r>
        <w:t>Nazir, A., Rao, Y., Wu, L., and Sun, L. (2022). Issues and challenges of aspect-based sentiment analysis: A comprehensive survey. IEEE Transactions on Affective Computing, 13(2), 845–863. https://doi.org/10.1109/TAFFC.2020.2970399</w:t>
      </w:r>
    </w:p>
    <w:p w14:paraId="3BAD2305" w14:textId="77777777" w:rsidR="00295F89" w:rsidRDefault="00000000">
      <w:pPr>
        <w:spacing w:after="100" w:line="240" w:lineRule="auto"/>
        <w:ind w:left="360" w:hanging="360"/>
      </w:pPr>
      <w:r>
        <w:t>Northcutt, C. G., Athalye, A., and Mueller, J. (2021). Pervasive label errors in test sets destabilize machine learning benchmarks. Proceedings of the 35th Conference on Neural Information Processing Systems (NeurIPS): Datasets and Benchmarks Track.</w:t>
      </w:r>
    </w:p>
    <w:p w14:paraId="7C25469D" w14:textId="77777777" w:rsidR="00295F89" w:rsidRDefault="00000000">
      <w:pPr>
        <w:spacing w:after="100" w:line="240" w:lineRule="auto"/>
        <w:ind w:left="360" w:hanging="360"/>
      </w:pPr>
      <w:r>
        <w:t>Pavlick, E., and Kwiatkowski, T. (2019). Inherent disagreements in human textual inferences. Transactions of the Association for Computational Linguistics, 7, 677–694. https://doi.org/10.1162/tacl_a_00293</w:t>
      </w:r>
    </w:p>
    <w:p w14:paraId="3D12E009" w14:textId="77777777" w:rsidR="00295F89" w:rsidRDefault="00000000">
      <w:pPr>
        <w:spacing w:after="100" w:line="240" w:lineRule="auto"/>
        <w:ind w:left="360" w:hanging="360"/>
      </w:pPr>
      <w:r>
        <w:t>Plank, B. (2022). The “Problem” of human label variation: On ground truth in data, modeling and evaluation. Proceedings of the 2022 Conference on Empirical Methods in Natural Language Processing, 10671–10682. https://doi.org/10.18653/v1/2022.emnlp-main.731</w:t>
      </w:r>
    </w:p>
    <w:p w14:paraId="18297B6F" w14:textId="77777777" w:rsidR="00295F89" w:rsidRDefault="00000000">
      <w:pPr>
        <w:spacing w:after="100" w:line="240" w:lineRule="auto"/>
        <w:ind w:left="360" w:hanging="360"/>
      </w:pPr>
      <w:r>
        <w:t>Poria, S., Hazarika, D., Majumder, N., and Mihalcea, R. (2023). Beneath the tip of the iceberg: Current challenges and new directions in sentiment analysis research. IEEE Transactions on Affective Computing, 14(1), 108–132. https://doi.org/10.1109/TAFFC.2020.3038167</w:t>
      </w:r>
    </w:p>
    <w:p w14:paraId="0A7113B7" w14:textId="77777777" w:rsidR="00295F89" w:rsidRDefault="00000000">
      <w:pPr>
        <w:spacing w:after="100" w:line="240" w:lineRule="auto"/>
        <w:ind w:left="360" w:hanging="360"/>
      </w:pPr>
      <w:r>
        <w:t>Romadhona, N. P., Lu, S.-E., Lu, B.-H., and Tsai, R. T.-H. (2022). BRCC and SentiBahasaRojak: The first Bahasa Rojak corpus for pretraining and sentiment analysis dataset. Proceedings of the 29th International Conference on Computational Linguistics (COLING), 4418–4428.</w:t>
      </w:r>
    </w:p>
    <w:p w14:paraId="2F0E0469" w14:textId="77777777" w:rsidR="00295F89" w:rsidRDefault="00000000">
      <w:pPr>
        <w:spacing w:after="100" w:line="240" w:lineRule="auto"/>
        <w:ind w:left="360" w:hanging="360"/>
      </w:pPr>
      <w:r>
        <w:t>Selvaraju, S., Sjarif, N. N. A., and Anuar, M. S. M. (2024). Sentiment analysis in code mixing Malay text: A review. 2024 5th International Conference on Artificial Intelligence and Data Sciences (AiDAS), 280–285. https://doi.org/10.1109/AiDAS63860.2024.10730298</w:t>
      </w:r>
    </w:p>
    <w:p w14:paraId="47CBFB13" w14:textId="77777777" w:rsidR="00295F89" w:rsidRDefault="00000000">
      <w:pPr>
        <w:spacing w:after="100" w:line="240" w:lineRule="auto"/>
        <w:ind w:left="360" w:hanging="360"/>
      </w:pPr>
      <w:r>
        <w:t>Treffers-Daller, J., Majid, S., Thai, Y. N., and Flynn, N. (2022). Explaining the diversity in Malay-English code-switching patterns: The contribution of typological similarity and bilingual optimization strategies. Languages, 7(4), 299. https://doi.org/10.3390/languages7040299</w:t>
      </w:r>
    </w:p>
    <w:p w14:paraId="776BD3F4" w14:textId="77777777" w:rsidR="00295F89" w:rsidRDefault="00000000">
      <w:pPr>
        <w:spacing w:after="100" w:line="240" w:lineRule="auto"/>
        <w:ind w:left="360" w:hanging="360"/>
      </w:pPr>
      <w:r>
        <w:t>Uma, A. N., Fornaciari, T., Hovy, D., Paun, S., Plank, B., and Poesio, M. (2021). Learning from disagreement: A survey. Journal of Artificial Intelligence Research, 72, 1385–1470. https://doi.org/10.1613/jair.1.12752</w:t>
      </w:r>
    </w:p>
    <w:p w14:paraId="7EAF1F7D" w14:textId="77777777" w:rsidR="00295F89" w:rsidRDefault="00000000">
      <w:pPr>
        <w:spacing w:after="100" w:line="240" w:lineRule="auto"/>
        <w:ind w:left="360" w:hanging="360"/>
      </w:pPr>
      <w:r>
        <w:t>Weber, L., and Plank, B. (2023). ActiveAED: A human in the loop improves annotation error detection. Findings of the Association for Computational Linguistics: ACL 2023, 8834–8845. https://doi.org/10.18653/v1/2023.findings-acl.562</w:t>
      </w:r>
    </w:p>
    <w:p w14:paraId="1F57F553" w14:textId="77777777" w:rsidR="00295F89" w:rsidRDefault="00000000">
      <w:pPr>
        <w:spacing w:after="100" w:line="240" w:lineRule="auto"/>
        <w:ind w:left="360" w:hanging="360"/>
      </w:pPr>
      <w:r>
        <w:t>Weber-Genzel, L., Peng, S., de Marneffe, M.-C., and Plank, B. (2024). VariErr NLI: Separating annotation error from human label variation. Proceedings of the 62nd Annual Meeting of the Association for Computational Linguistics (Volume 1: Long Papers), 2256–2269. https://doi.org/10.18653/v1/2024.acl-long.123</w:t>
      </w:r>
    </w:p>
    <w:p w14:paraId="0C6B2ED2" w14:textId="77777777" w:rsidR="00295F89" w:rsidRDefault="00000000">
      <w:pPr>
        <w:spacing w:after="100" w:line="240" w:lineRule="auto"/>
        <w:ind w:left="360" w:hanging="360"/>
      </w:pPr>
      <w:r>
        <w:t>Winata, G. I., Aji, A. F., Yong, Z. X., and Solorio, T. (2023). The decades progress on code-switching research in NLP: A systematic survey on trends and challenges. Findings of the Association for Computational Linguistics: ACL 2023, 2936–2978. https://doi.org/10.18653/v1/2023.findings-acl.185</w:t>
      </w:r>
    </w:p>
    <w:p w14:paraId="06EFF493" w14:textId="77777777" w:rsidR="00295F89" w:rsidRDefault="00000000">
      <w:pPr>
        <w:spacing w:after="100" w:line="240" w:lineRule="auto"/>
        <w:ind w:left="360" w:hanging="360"/>
      </w:pPr>
      <w:r>
        <w:t>Winata, G. I., Cahyawijaya, S., Liu, Z., Lin, Z., Madotto, A., and Fung, P. (2021). Are multilingual models effective in code-switching? Proceedings of the Fifth Workshop on Computational Approaches to Linguistic Code-Switching, 142–153. https://doi.org/10.18653/v1/2021.calcs-1.20</w:t>
      </w:r>
    </w:p>
    <w:sectPr w:rsidR="00295F89" w:rsidSect="00034616">
      <w:footerReference w:type="default" r:id="rId8"/>
      <w:pgSz w:w="11907" w:h="16839"/>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A7788" w14:textId="77777777" w:rsidR="00592228" w:rsidRDefault="00592228">
      <w:pPr>
        <w:spacing w:after="0" w:line="240" w:lineRule="auto"/>
      </w:pPr>
      <w:r>
        <w:separator/>
      </w:r>
    </w:p>
  </w:endnote>
  <w:endnote w:type="continuationSeparator" w:id="0">
    <w:p w14:paraId="58110DFE" w14:textId="77777777" w:rsidR="00592228" w:rsidRDefault="00592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34C6" w14:textId="77777777" w:rsidR="00295F89" w:rsidRDefault="00000000">
    <w:pPr>
      <w:pStyle w:val="Footer"/>
      <w:jc w:val="right"/>
    </w:pPr>
    <w:r>
      <w:fldChar w:fldCharType="begin"/>
    </w:r>
    <w:r>
      <w:instrText>PAGE</w:instrText>
    </w:r>
    <w:r>
      <w:fldChar w:fldCharType="separate"/>
    </w:r>
    <w:r w:rsidR="009525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BF11D" w14:textId="77777777" w:rsidR="00592228" w:rsidRDefault="00592228">
      <w:pPr>
        <w:spacing w:after="0" w:line="240" w:lineRule="auto"/>
      </w:pPr>
      <w:r>
        <w:separator/>
      </w:r>
    </w:p>
  </w:footnote>
  <w:footnote w:type="continuationSeparator" w:id="0">
    <w:p w14:paraId="5DE27F94" w14:textId="77777777" w:rsidR="00592228" w:rsidRDefault="005922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E4411C"/>
    <w:lvl w:ilvl="0">
      <w:start w:val="1"/>
      <w:numFmt w:val="bullet"/>
      <w:pStyle w:val="ListBullet"/>
      <w:lvlText w:val=""/>
      <w:lvlJc w:val="left"/>
      <w:pPr>
        <w:tabs>
          <w:tab w:val="num" w:pos="360"/>
        </w:tabs>
        <w:ind w:left="360" w:hanging="360"/>
      </w:pPr>
      <w:rPr>
        <w:rFonts w:ascii="Symbol" w:hAnsi="Symbol" w:hint="default"/>
      </w:rPr>
    </w:lvl>
  </w:abstractNum>
  <w:num w:numId="1" w16cid:durableId="1004553179">
    <w:abstractNumId w:val="8"/>
  </w:num>
  <w:num w:numId="2" w16cid:durableId="2113621251">
    <w:abstractNumId w:val="6"/>
  </w:num>
  <w:num w:numId="3" w16cid:durableId="2123767703">
    <w:abstractNumId w:val="5"/>
  </w:num>
  <w:num w:numId="4" w16cid:durableId="2013483242">
    <w:abstractNumId w:val="4"/>
  </w:num>
  <w:num w:numId="5" w16cid:durableId="992218794">
    <w:abstractNumId w:val="7"/>
  </w:num>
  <w:num w:numId="6" w16cid:durableId="962349046">
    <w:abstractNumId w:val="3"/>
  </w:num>
  <w:num w:numId="7" w16cid:durableId="1113598368">
    <w:abstractNumId w:val="2"/>
  </w:num>
  <w:num w:numId="8" w16cid:durableId="1705669199">
    <w:abstractNumId w:val="1"/>
  </w:num>
  <w:num w:numId="9" w16cid:durableId="1991707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F89"/>
    <w:rsid w:val="0029639D"/>
    <w:rsid w:val="003128D3"/>
    <w:rsid w:val="00326F90"/>
    <w:rsid w:val="003F26C4"/>
    <w:rsid w:val="00592228"/>
    <w:rsid w:val="00692B79"/>
    <w:rsid w:val="0095253D"/>
    <w:rsid w:val="00AA1D8D"/>
    <w:rsid w:val="00AE1097"/>
    <w:rsid w:val="00AF2D22"/>
    <w:rsid w:val="00B47730"/>
    <w:rsid w:val="00CB0664"/>
    <w:rsid w:val="00CF6774"/>
    <w:rsid w:val="00F2494B"/>
    <w:rsid w:val="00F24F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D27B4"/>
  <w14:defaultImageDpi w14:val="300"/>
  <w15:docId w15:val="{DBE60E9B-9337-4965-903A-720A3DB62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9</Pages>
  <Words>5172</Words>
  <Characters>29481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Annotation Reliability in Malaysian Malay-English Code-Mixed Sentiment Analysis</vt:lpstr>
    </vt:vector>
  </TitlesOfParts>
  <Manager/>
  <Company/>
  <LinksUpToDate>false</LinksUpToDate>
  <CharactersWithSpaces>34584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Annotation Reliability in Malaysian Malay-English Code-Mixed Sentiment Analysis</dc:title>
  <dc:subject/>
  <dc:creator>python-docx</dc:creator>
  <cp:keywords/>
  <dc:description>generated by python-docx</dc:description>
  <cp:lastModifiedBy>Lenovo</cp:lastModifiedBy>
  <cp:revision>4</cp:revision>
  <dcterms:created xsi:type="dcterms:W3CDTF">2013-12-23T23:15:00Z</dcterms:created>
  <dcterms:modified xsi:type="dcterms:W3CDTF">2026-09-12T19:16:00Z</dcterms:modified>
  <cp:category/>
</cp:coreProperties>
</file>