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4BD0" w14:textId="77777777" w:rsidR="00EE11D5" w:rsidRPr="006546A0" w:rsidRDefault="00EE11D5">
      <w:pPr>
        <w:widowControl w:val="0"/>
        <w:pBdr>
          <w:top w:val="nil"/>
          <w:left w:val="nil"/>
          <w:bottom w:val="nil"/>
          <w:right w:val="nil"/>
          <w:between w:val="nil"/>
        </w:pBdr>
        <w:spacing w:line="276" w:lineRule="auto"/>
      </w:pPr>
    </w:p>
    <w:p w14:paraId="4D135376"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31A6E0C4" w14:textId="77777777">
        <w:tc>
          <w:tcPr>
            <w:tcW w:w="6408" w:type="dxa"/>
          </w:tcPr>
          <w:p w14:paraId="7975BB18"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349770C5" w14:textId="77777777" w:rsidR="00EE11D5" w:rsidRPr="006546A0" w:rsidRDefault="00EE11D5" w:rsidP="003079CD">
            <w:pPr>
              <w:tabs>
                <w:tab w:val="left" w:pos="24"/>
              </w:tabs>
              <w:rPr>
                <w:sz w:val="24"/>
                <w:szCs w:val="24"/>
              </w:rPr>
            </w:pPr>
          </w:p>
          <w:p w14:paraId="30CE0285" w14:textId="77777777" w:rsidR="00EE11D5" w:rsidRPr="006546A0" w:rsidRDefault="00EE11D5">
            <w:pPr>
              <w:tabs>
                <w:tab w:val="left" w:pos="24"/>
              </w:tabs>
              <w:jc w:val="center"/>
              <w:rPr>
                <w:sz w:val="24"/>
                <w:szCs w:val="24"/>
              </w:rPr>
            </w:pPr>
          </w:p>
          <w:p w14:paraId="6A4370B2" w14:textId="77777777" w:rsidR="00EE11D5" w:rsidRPr="006546A0" w:rsidRDefault="00000000">
            <w:pPr>
              <w:tabs>
                <w:tab w:val="left" w:pos="24"/>
              </w:tabs>
              <w:jc w:val="center"/>
              <w:rPr>
                <w:sz w:val="24"/>
                <w:szCs w:val="24"/>
              </w:rPr>
            </w:pPr>
            <w:r>
              <w:rPr>
                <w:sz w:val="24"/>
                <w:szCs w:val="24"/>
              </w:rPr>
              <w:t>Ng Yong Vay</w:t>
            </w:r>
          </w:p>
          <w:p w14:paraId="38474856" w14:textId="77777777" w:rsidR="00EE11D5" w:rsidRPr="006546A0" w:rsidRDefault="00000000">
            <w:pPr>
              <w:tabs>
                <w:tab w:val="left" w:pos="24"/>
              </w:tabs>
              <w:spacing w:before="120"/>
              <w:jc w:val="center"/>
              <w:rPr>
                <w:i/>
                <w:sz w:val="24"/>
                <w:szCs w:val="24"/>
              </w:rPr>
            </w:pPr>
            <w:r>
              <w:rPr>
                <w:i/>
                <w:sz w:val="24"/>
                <w:szCs w:val="24"/>
              </w:rPr>
              <w:t>[Faculty and University]</w:t>
            </w:r>
          </w:p>
          <w:p w14:paraId="21AEE5C2" w14:textId="42D32C66" w:rsidR="00EE11D5" w:rsidRPr="006546A0" w:rsidRDefault="00FB709E">
            <w:pPr>
              <w:tabs>
                <w:tab w:val="left" w:pos="24"/>
              </w:tabs>
              <w:jc w:val="center"/>
              <w:rPr>
                <w:i/>
                <w:sz w:val="24"/>
                <w:szCs w:val="24"/>
              </w:rPr>
            </w:pPr>
            <w:r>
              <w:rPr>
                <w:i/>
                <w:sz w:val="24"/>
                <w:szCs w:val="24"/>
              </w:rPr>
              <w:t>E</w:t>
            </w:r>
            <w:r w:rsidR="00681989">
              <w:rPr>
                <w:i/>
                <w:sz w:val="24"/>
                <w:szCs w:val="24"/>
              </w:rPr>
              <w:t>-</w:t>
            </w:r>
            <w:r>
              <w:rPr>
                <w:i/>
                <w:sz w:val="24"/>
                <w:szCs w:val="24"/>
              </w:rPr>
              <w:t>mail</w:t>
            </w:r>
          </w:p>
          <w:p w14:paraId="4DB10723" w14:textId="77777777" w:rsidR="00EE11D5" w:rsidRPr="006546A0" w:rsidRDefault="00EE11D5">
            <w:pPr>
              <w:pStyle w:val="Heading1"/>
              <w:tabs>
                <w:tab w:val="left" w:pos="24"/>
              </w:tabs>
            </w:pPr>
          </w:p>
        </w:tc>
        <w:tc>
          <w:tcPr>
            <w:tcW w:w="1800" w:type="dxa"/>
          </w:tcPr>
          <w:p w14:paraId="1B6BA461" w14:textId="77777777" w:rsidR="00EE11D5" w:rsidRPr="006546A0" w:rsidRDefault="00000000">
            <w:pPr>
              <w:pStyle w:val="Heading1"/>
              <w:tabs>
                <w:tab w:val="left" w:pos="24"/>
              </w:tabs>
              <w:jc w:val="left"/>
              <w:rPr>
                <w:sz w:val="20"/>
              </w:rPr>
            </w:pPr>
            <w:r>
              <w:rPr>
                <w:sz w:val="20"/>
              </w:rPr>
              <w:t>Article history</w:t>
            </w:r>
          </w:p>
          <w:p w14:paraId="0B8DEED7" w14:textId="77777777" w:rsidR="00EE11D5" w:rsidRPr="006546A0" w:rsidRDefault="00EE11D5">
            <w:pPr>
              <w:pStyle w:val="Heading1"/>
              <w:tabs>
                <w:tab w:val="left" w:pos="24"/>
              </w:tabs>
              <w:rPr>
                <w:b w:val="0"/>
                <w:sz w:val="20"/>
              </w:rPr>
            </w:pPr>
          </w:p>
          <w:p w14:paraId="5F105A29"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115FCF9B" w14:textId="77777777" w:rsidR="00EE11D5" w:rsidRPr="006546A0" w:rsidRDefault="00000000">
            <w:pPr>
              <w:pStyle w:val="Heading1"/>
              <w:tabs>
                <w:tab w:val="left" w:pos="24"/>
              </w:tabs>
              <w:jc w:val="left"/>
              <w:rPr>
                <w:b w:val="0"/>
                <w:sz w:val="18"/>
                <w:szCs w:val="18"/>
              </w:rPr>
            </w:pPr>
            <w:r>
              <w:rPr>
                <w:b w:val="0"/>
                <w:sz w:val="18"/>
                <w:szCs w:val="18"/>
              </w:rPr>
              <w:t>xx xxx 2023</w:t>
            </w:r>
          </w:p>
          <w:p w14:paraId="23AC38B0" w14:textId="77777777" w:rsidR="00EE11D5" w:rsidRPr="006546A0" w:rsidRDefault="00EE11D5"/>
          <w:p w14:paraId="21078770"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38E3A2D0" w14:textId="77777777" w:rsidR="00EE11D5" w:rsidRPr="006546A0" w:rsidRDefault="00000000">
            <w:pPr>
              <w:pStyle w:val="Heading1"/>
              <w:tabs>
                <w:tab w:val="left" w:pos="24"/>
              </w:tabs>
              <w:jc w:val="left"/>
              <w:rPr>
                <w:b w:val="0"/>
                <w:sz w:val="18"/>
                <w:szCs w:val="18"/>
              </w:rPr>
            </w:pPr>
            <w:r>
              <w:rPr>
                <w:b w:val="0"/>
                <w:sz w:val="18"/>
                <w:szCs w:val="18"/>
              </w:rPr>
              <w:t>xx xxx 2023</w:t>
            </w:r>
          </w:p>
          <w:p w14:paraId="0FE9D836" w14:textId="77777777" w:rsidR="00EE11D5" w:rsidRPr="006546A0" w:rsidRDefault="00EE11D5"/>
          <w:p w14:paraId="19185082" w14:textId="77777777" w:rsidR="00EE11D5" w:rsidRPr="006546A0" w:rsidRDefault="00000000">
            <w:pPr>
              <w:pStyle w:val="Heading1"/>
              <w:tabs>
                <w:tab w:val="left" w:pos="24"/>
              </w:tabs>
              <w:jc w:val="left"/>
              <w:rPr>
                <w:b w:val="0"/>
                <w:sz w:val="18"/>
                <w:szCs w:val="18"/>
              </w:rPr>
            </w:pPr>
            <w:r>
              <w:rPr>
                <w:b w:val="0"/>
                <w:sz w:val="18"/>
                <w:szCs w:val="18"/>
              </w:rPr>
              <w:t>Accepted:</w:t>
            </w:r>
          </w:p>
          <w:p w14:paraId="54D54A3E" w14:textId="77777777" w:rsidR="00EE11D5" w:rsidRPr="006546A0" w:rsidRDefault="00000000">
            <w:pPr>
              <w:pStyle w:val="Heading1"/>
              <w:tabs>
                <w:tab w:val="left" w:pos="24"/>
              </w:tabs>
              <w:jc w:val="left"/>
              <w:rPr>
                <w:b w:val="0"/>
                <w:sz w:val="18"/>
                <w:szCs w:val="18"/>
              </w:rPr>
            </w:pPr>
            <w:r>
              <w:rPr>
                <w:b w:val="0"/>
                <w:sz w:val="18"/>
                <w:szCs w:val="18"/>
              </w:rPr>
              <w:t>xx xxx 2023</w:t>
            </w:r>
          </w:p>
          <w:p w14:paraId="158DFD26" w14:textId="77777777" w:rsidR="00EE11D5" w:rsidRPr="006546A0" w:rsidRDefault="00EE11D5"/>
          <w:p w14:paraId="03355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31985458" w14:textId="77777777" w:rsidR="00EE11D5" w:rsidRPr="006546A0" w:rsidRDefault="00000000">
            <w:pPr>
              <w:pStyle w:val="Heading1"/>
              <w:tabs>
                <w:tab w:val="left" w:pos="24"/>
              </w:tabs>
              <w:jc w:val="left"/>
              <w:rPr>
                <w:b w:val="0"/>
                <w:sz w:val="18"/>
                <w:szCs w:val="18"/>
              </w:rPr>
            </w:pPr>
            <w:r>
              <w:rPr>
                <w:b w:val="0"/>
                <w:sz w:val="18"/>
                <w:szCs w:val="18"/>
              </w:rPr>
              <w:t>xx xxx 2023</w:t>
            </w:r>
          </w:p>
          <w:p w14:paraId="3BE87A7B" w14:textId="77777777" w:rsidR="00EE11D5" w:rsidRPr="006546A0" w:rsidRDefault="00EE11D5">
            <w:pPr>
              <w:pStyle w:val="Heading1"/>
              <w:tabs>
                <w:tab w:val="left" w:pos="24"/>
              </w:tabs>
              <w:jc w:val="left"/>
              <w:rPr>
                <w:b w:val="0"/>
                <w:sz w:val="18"/>
                <w:szCs w:val="18"/>
              </w:rPr>
            </w:pPr>
          </w:p>
          <w:p w14:paraId="60AF883D"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90A77E8" w14:textId="77777777" w:rsidR="00EE11D5" w:rsidRPr="006546A0" w:rsidRDefault="00000000">
            <w:pPr>
              <w:pStyle w:val="Heading1"/>
              <w:tabs>
                <w:tab w:val="left" w:pos="24"/>
              </w:tabs>
              <w:jc w:val="left"/>
              <w:rPr>
                <w:b w:val="0"/>
                <w:sz w:val="20"/>
              </w:rPr>
            </w:pPr>
            <w:r>
              <w:rPr>
                <w:b w:val="0"/>
                <w:sz w:val="18"/>
                <w:szCs w:val="18"/>
              </w:rPr>
              <w:t>yongvay@gmail.com</w:t>
            </w:r>
          </w:p>
        </w:tc>
      </w:tr>
    </w:tbl>
    <w:p w14:paraId="6A097EBD" w14:textId="77777777" w:rsidR="00EE11D5" w:rsidRPr="006546A0" w:rsidRDefault="00000000">
      <w:pPr>
        <w:pStyle w:val="Heading1"/>
        <w:tabs>
          <w:tab w:val="left" w:pos="24"/>
        </w:tabs>
        <w:spacing w:before="240" w:after="120"/>
        <w:rPr>
          <w:i/>
          <w:sz w:val="20"/>
        </w:rPr>
      </w:pPr>
      <w:r>
        <w:rPr>
          <w:i/>
          <w:sz w:val="20"/>
        </w:rPr>
        <w:t>Abstract</w:t>
      </w:r>
    </w:p>
    <w:p w14:paraId="09501A11"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problem originates earlier, in the sentiment labels themselves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and the untested assumption that annotators of different types make different errors.</w:t>
      </w:r>
    </w:p>
    <w:p w14:paraId="6104A5E3" w14:textId="4B93EAC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w:t>
      </w:r>
      <w:r w:rsidR="001B5378">
        <w:rPr>
          <w:i/>
          <w:color w:val="000000" w:themeColor="text1"/>
        </w:rPr>
        <w:t>M</w:t>
      </w:r>
      <w:r w:rsidR="003E271D">
        <w:rPr>
          <w:i/>
          <w:color w:val="000000" w:themeColor="text1"/>
        </w:rPr>
        <w:t>anglish</w:t>
      </w:r>
      <w:r>
        <w:rPr>
          <w:i/>
          <w:color w:val="000000" w:themeColor="text1"/>
        </w:rPr>
        <w:t>, annotation reliability, inter-annotator agreement</w:t>
      </w:r>
    </w:p>
    <w:p w14:paraId="0A5CD9A6" w14:textId="77777777" w:rsidR="00EE11D5" w:rsidRPr="006546A0" w:rsidRDefault="00EE11D5">
      <w:pPr>
        <w:tabs>
          <w:tab w:val="left" w:pos="24"/>
        </w:tabs>
        <w:jc w:val="both"/>
        <w:rPr>
          <w:sz w:val="24"/>
          <w:szCs w:val="24"/>
        </w:rPr>
      </w:pPr>
    </w:p>
    <w:p w14:paraId="2716632A" w14:textId="77777777" w:rsidR="00EE11D5" w:rsidRPr="006546A0" w:rsidRDefault="00000000" w:rsidP="00C127AD">
      <w:pPr>
        <w:rPr>
          <w:b/>
          <w:sz w:val="26"/>
          <w:szCs w:val="26"/>
        </w:rPr>
      </w:pPr>
      <w:r>
        <w:rPr>
          <w:b/>
          <w:sz w:val="26"/>
          <w:szCs w:val="26"/>
        </w:rPr>
        <w:t>1. Introduction</w:t>
      </w:r>
    </w:p>
    <w:p w14:paraId="20E6FC08" w14:textId="77777777" w:rsidR="00C7668C" w:rsidRDefault="00000000">
      <w:pPr>
        <w:spacing w:before="120"/>
        <w:ind w:firstLine="244"/>
        <w:jc w:val="both"/>
        <w:rPr>
          <w:sz w:val="24"/>
          <w:szCs w:val="24"/>
          <w:lang w:val="en-GB"/>
        </w:rPr>
      </w:pPr>
      <w:r>
        <w:rPr>
          <w:sz w:val="24"/>
          <w:szCs w:val="24"/>
          <w:lang w:val="en-GB"/>
        </w:rPr>
        <w:t>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resources, a pre-trained model is one that has already learned general patterns from a large body of text and is then adapted to a particular task such as sentiment analysis (Devlin et al., 2019). Many of these resources are developed primarily for individual languages, so text in which two languages alternate within a single message, a pattern known as code-switching, falls outside the conditions for which they were designed. Doğruöz et al. (2021) report that the effect of code-switching on model performance varies by task, with current models performing well on code-switched language identification and part-of-speech tagging but only slightly better than chance on natural language inference. Performance on code-switched text is therefore often lower than performance on monolingual text for the same task, though not uniformly so (Doğruöz et al., 2021; Winata et al., 2023). Malaysian social media text is one setting in which such code-switching is common, and the two languages most often involved are English and Malay (AlAfnan et al., 2025; Treffers-Daller et al., 2022).</w:t>
      </w:r>
    </w:p>
    <w:p w14:paraId="585F741B" w14:textId="77777777" w:rsidR="00C7668C"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On social media, Malaysian users alternate between languages within a single message rather than writing in one language at a time (Treffers-Daller et al., 2022; AlAfnan et al., 2025). English and Malay are among the languages most frequently combined in Malaysian written communication (AlAfnan et al., 2025). Two local terms are used for this code-mixed writing, and they refer to different combinations of languages (AlAfnan et al., 2025; Romadhona et al., 2022). AlAfnan et al. (2025) describe </w:t>
      </w:r>
      <w:r>
        <w:rPr>
          <w:i/>
          <w:iCs/>
          <w:sz w:val="24"/>
          <w:szCs w:val="24"/>
          <w:lang w:val="en-GB"/>
        </w:rPr>
        <w:t>Manglish</w:t>
      </w:r>
      <w:r>
        <w:rPr>
          <w:sz w:val="24"/>
          <w:szCs w:val="24"/>
          <w:lang w:val="en-GB"/>
        </w:rPr>
        <w:t xml:space="preserve"> as a hybrid form that combines Malay and English.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refers to that combination directly, whereas </w:t>
      </w:r>
      <w:r>
        <w:rPr>
          <w:i/>
          <w:iCs/>
          <w:sz w:val="24"/>
          <w:szCs w:val="24"/>
          <w:lang w:val="en-GB"/>
        </w:rPr>
        <w:t>Bahasa Rojak</w:t>
      </w:r>
      <w:r>
        <w:rPr>
          <w:sz w:val="24"/>
          <w:szCs w:val="24"/>
          <w:lang w:val="en-GB"/>
        </w:rPr>
        <w:t xml:space="preserve"> refers to a wider combination that also includes Chinese.</w:t>
      </w:r>
    </w:p>
    <w:p w14:paraId="60F6084C" w14:textId="77777777" w:rsidR="00C7668C" w:rsidRDefault="00000000">
      <w:pPr>
        <w:spacing w:before="120"/>
        <w:ind w:firstLine="244"/>
        <w:jc w:val="both"/>
        <w:rPr>
          <w:sz w:val="24"/>
          <w:szCs w:val="24"/>
          <w:lang w:val="en-GB"/>
        </w:rPr>
      </w:pPr>
      <w:r>
        <w:rPr>
          <w:sz w:val="24"/>
          <w:szCs w:val="24"/>
          <w:lang w:val="en-GB"/>
        </w:rPr>
        <w:t xml:space="preserve">Descriptions of </w:t>
      </w:r>
      <w:r>
        <w:rPr>
          <w:i/>
          <w:iCs/>
          <w:sz w:val="24"/>
          <w:szCs w:val="24"/>
          <w:lang w:val="en-GB"/>
        </w:rPr>
        <w:t>Manglish</w:t>
      </w:r>
      <w:r>
        <w:rPr>
          <w:sz w:val="24"/>
          <w:szCs w:val="24"/>
          <w:lang w:val="en-GB"/>
        </w:rPr>
        <w:t xml:space="preserve"> in the literature are not uniform. AlAfnan et al. (2025) note that it is sometimes viewed as having a negative effect on standard English and Malay rather than as a legitimate language variety in its own right. Its structure, however, is systematic rather than random. Treffers-Daller et al. (2022) analyse the classroom speech of two Malaysian teachers of English and find that Malay-English switching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9A9394E" w14:textId="77777777" w:rsidR="00C7668C"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(Maskat and Rahman, 2020). Abu Bakar et al. (2020) accordingly describe Malay social media text as misspelled, out-of-vocabulary, ill-formed and noisy. That description reflects the reference standard being applied rather than a lack of care by the writer. These writing conventions are consistent within the observed variation, but they differ from the conventions that standard natural language processing (NLP) tools were designed to handle.</w:t>
      </w:r>
    </w:p>
    <w:p w14:paraId="4C083C2D" w14:textId="77777777" w:rsidR="00C7668C" w:rsidRDefault="00000000">
      <w:pPr>
        <w:spacing w:before="120"/>
        <w:ind w:firstLine="244"/>
        <w:jc w:val="both"/>
        <w:rPr>
          <w:sz w:val="24"/>
          <w:szCs w:val="24"/>
          <w:lang w:val="en-GB"/>
        </w:rPr>
      </w:pPr>
      <w:r>
        <w:rPr>
          <w:sz w:val="24"/>
          <w:szCs w:val="24"/>
          <w:lang w:val="en-GB"/>
        </w:rPr>
        <w:t>This mismatch between writing conventions and tool design raises the question of where the difficulty in processing such text actually lies. When a sentiment model performs poorly on Malay-English mixed text, one common explanation concerns the model architecture (Doğruöz et al., 2021; Winata et al., 2023). Under this view the model handles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guarantee high-quality representations of code-switched text. Conneau et al. (2020) describe a trade-off between positive transfer and capacity dilution. Capacity dilution refers to the reduction in the modelling capacity available to each individual language as more languages are added to a model of fixed size. A model required to accommodate many languages may therefore produce representations of lower quality for each one. Doğruöz et al. (2021) identify a further limitation that is not architectural, in that the multilingual models in common use are trained mainly on monolingual corpora and may receive little exposure to code-switched text during pre-training. Model choice therefore accounts for part of the difficulty but not all of it.</w:t>
      </w:r>
    </w:p>
    <w:p w14:paraId="72F97831" w14:textId="77777777" w:rsidR="00C7668C"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Poria et al. (2023) note that this heavy reliance on annotated data is a limitation, and that it has renewed interest in supplying models with external knowledge such as sentiment lexicons. That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and Northcutt et al. (2021) show that label errors can change which of two models a benchmark ranks higher. Bowman and Dahl (2021) name annotation reliability as one of four conditions a sound evaluation benchmark must meet. An incorrect label can therefore have an effect at two separate stages, first when the model is trained and again when its performance is measured.</w:t>
      </w:r>
    </w:p>
    <w:p w14:paraId="6784D494" w14:textId="77777777" w:rsidR="00C7668C" w:rsidRDefault="00000000">
      <w:pPr>
        <w:spacing w:before="120"/>
        <w:ind w:firstLine="244"/>
        <w:jc w:val="both"/>
        <w:rPr>
          <w:sz w:val="24"/>
          <w:szCs w:val="24"/>
          <w:lang w:val="en-GB"/>
        </w:rPr>
      </w:pPr>
      <w:r>
        <w:rPr>
          <w:sz w:val="24"/>
          <w:szCs w:val="24"/>
          <w:lang w:val="en-GB"/>
        </w:rPr>
        <w:t>Three findings, each developed in the sections that follow, point to the annotation label rather than the model as the more limiting constraint for Malaysian Malay-English code-mixed sentiment data at present. They also indicate that the evidence offered for the soundness of those labels is limited. First, this review identifies four Malay-English sentiment resources (Kasmuri and Basiron, 2019; Romadhona et al., 2022; Kong et al., 2023; Mohd Shamsuddin et al., 2024). None of them is at the same time large, meaning at least ten thousand labelled messages, balanced across sentiment classes, drawn from casual social media, and accompanied by an assessment of annotation reliability by human annotators. Each of them satisfies some of these criteria but not all of them. Second, the class imbalance in the largest of them appears to originate in the labelling method rather than in Malaysian discourse (Mohd Shamsuddin et al., 2024; Kong et al., 2023). Third, annotation reliability is rarely reported across these four resources (Kasmuri and Basiron, 2019; Romadhona et al., 2022; Kong et al., 2023; Mohd Shamsuddin et al., 2024). Where an inter-annotator agreement coefficient is reported, it was measured on a two-way judgement rather than on the three-way positive, negative and neutral labelling for which the resource is used.</w:t>
      </w:r>
    </w:p>
    <w:p w14:paraId="6DDC1771" w14:textId="77777777" w:rsidR="00C7668C"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Artstein and Poesio,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the prevalence problem. The skew that the labelling methods produce is therefore also the condition that can make the statistic used to assess the labels more difficult to interpret. Correcting either weakness alone leaves the other in place. This shortage of reliably labelled data is not confined to the four resources examined here. Selvaraju et al. (2024) report that comprehensive datasets and annotated resources for code-mixed Malay text are still lacking.</w:t>
      </w:r>
    </w:p>
    <w:p w14:paraId="2F7C368C" w14:textId="77777777" w:rsidR="00C7668C"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fall outside the scope. The first is comparative benchmarking of sentiment classifiers, and the second is sentiment analysis as a general field. Both topics have already been surveyed in detail (Poria et al., 2023; Nazir et al., 2022; Selvaraju et al., 2024). This review does not propose, implement or evaluate a system, and it does not report the authors' own experimental work. Its contribution is an analysis of why reliable annotation and evaluation remain difficult to establish for this data, together with a set of directions for future research.</w:t>
      </w:r>
    </w:p>
    <w:p w14:paraId="4B45734C" w14:textId="77777777" w:rsidR="00C7668C" w:rsidRDefault="00000000">
      <w:pPr>
        <w:spacing w:before="120"/>
        <w:ind w:firstLine="244"/>
        <w:jc w:val="both"/>
        <w:rPr>
          <w:sz w:val="24"/>
          <w:szCs w:val="24"/>
          <w:lang w:val="en-GB"/>
        </w:rPr>
      </w:pPr>
      <w:r>
        <w:rPr>
          <w:sz w:val="24"/>
          <w:szCs w:val="24"/>
          <w:lang w:val="en-GB"/>
        </w:rPr>
        <w:t>This review makes three contributions:</w:t>
      </w:r>
    </w:p>
    <w:p w14:paraId="42650DAA" w14:textId="77777777" w:rsidR="00C7668C"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39CA118B" w14:textId="77777777" w:rsidR="00C7668C" w:rsidRDefault="00000000">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introducing the four Malay-English sentiment resources report about the reliability of their annotation.</w:t>
      </w:r>
    </w:p>
    <w:p w14:paraId="180FD2B9" w14:textId="77777777" w:rsidR="00C7668C"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0671ACF7" w14:textId="2F916F16" w:rsidR="00643023" w:rsidRPr="00483967" w:rsidRDefault="00643023" w:rsidP="00483967">
      <w:pPr>
        <w:rPr>
          <w:b/>
          <w:bCs/>
          <w:sz w:val="24"/>
          <w:szCs w:val="24"/>
        </w:rPr>
      </w:pPr>
      <w:r>
        <w:rPr>
          <w:b/>
          <w:bCs/>
          <w:sz w:val="26"/>
          <w:szCs w:val="26"/>
        </w:rPr>
        <w:lastRenderedPageBreak/>
        <w:t>References</w:t>
      </w:r>
    </w:p>
    <w:p w14:paraId="52053A79"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2DA11D62" w14:textId="77777777" w:rsidR="00643023" w:rsidRPr="009C6090" w:rsidRDefault="00643023" w:rsidP="00643023">
      <w:pPr>
        <w:spacing w:after="80"/>
        <w:ind w:left="340" w:hanging="340"/>
        <w:jc w:val="both"/>
      </w:pPr>
      <w:r>
        <w:rPr>
          <w:sz w:val="16"/>
          <w:szCs w:val="16"/>
        </w:rPr>
        <w:t>Adilazuarda, M. F., Cahyawijaya, S., Winata, G. I., Fung, P., and Purwarianti, A. (2022). IndoRobusta: Towards robustness against diverse code-mixed Indonesian local languages. Proceedings of the First Workshop on Scaling Up Multilingual Evaluation (SUMEval), 25–34.</w:t>
      </w:r>
    </w:p>
    <w:p w14:paraId="18F101E2" w14:textId="77777777" w:rsidR="00643023" w:rsidRPr="009C6090" w:rsidRDefault="00643023" w:rsidP="00643023">
      <w:pPr>
        <w:spacing w:after="80"/>
        <w:ind w:left="340" w:hanging="340"/>
        <w:jc w:val="both"/>
      </w:pPr>
      <w:r>
        <w:rPr>
          <w:sz w:val="16"/>
          <w:szCs w:val="16"/>
        </w:rPr>
        <w:t>AlAfnan, M. A., MohdZuki, S. F., and AlAfnan, S. M. (2025). Blending identities: Exploring the linguistic, cultural, and pragmatic dimensions of Manglish in the Malaysian society. Studies in Media and Communication, 13(3). https://doi.org/10.11114/smc.v13i3.7654</w:t>
      </w:r>
    </w:p>
    <w:p w14:paraId="70E2074D" w14:textId="77777777" w:rsidR="00643023" w:rsidRPr="009C6090" w:rsidRDefault="00643023" w:rsidP="00643023">
      <w:pPr>
        <w:spacing w:after="80"/>
        <w:ind w:left="340" w:hanging="340"/>
        <w:jc w:val="both"/>
      </w:pPr>
      <w:r>
        <w:rPr>
          <w:sz w:val="16"/>
          <w:szCs w:val="16"/>
        </w:rPr>
        <w:t>Artstein, R., and Poesio, M. (2008). Survey article: Inter-coder agreement for computational linguistics. Computational Linguistics, 34(4), 555–596. https://doi.org/10.1162/coli.07-034-R2</w:t>
      </w:r>
    </w:p>
    <w:p w14:paraId="2A3F0AC3"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F8CA2FF"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6155E767"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79B414C"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A24C325"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F5F47AB"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F5F47AB"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4F5F47AB"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154D542C"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52A2E8C9"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4EC947D4" w14:textId="77777777" w:rsidR="00643023" w:rsidRPr="009C6090" w:rsidRDefault="00643023" w:rsidP="00643023">
      <w:pPr>
        <w:spacing w:after="80"/>
        <w:ind w:left="340" w:hanging="340"/>
        <w:jc w:val="both"/>
      </w:pPr>
      <w:r>
        <w:rPr>
          <w:sz w:val="16"/>
          <w:szCs w:val="16"/>
        </w:rPr>
        <w:t>Frénay, B., and Verleysen, M. (2014). Classification in the presence of label noise: A survey. IEEE Transactions on Neural Networks and Learning Systems, 25(5), 845–869. https://doi.org/10.1109/TNNLS.2013.2292894</w:t>
      </w:r>
    </w:p>
    <w:p w14:paraId="1AD55D92"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06735D72" w14:textId="77777777" w:rsidR="00643023" w:rsidRPr="009C6090" w:rsidRDefault="00643023" w:rsidP="00643023">
      <w:pPr>
        <w:spacing w:after="80"/>
        <w:ind w:left="340" w:hanging="340"/>
        <w:jc w:val="both"/>
      </w:pPr>
      <w:r>
        <w:rPr>
          <w:sz w:val="16"/>
          <w:szCs w:val="16"/>
        </w:rPr>
        <w:t>Kasmuri, E., and Basiron, H. (2019). Building a Malay-English code-switching subjectivity corpus for sentiment analysis. International Journal of Advanced Soft Computing and Its Applications, 11(1), 112–130.</w:t>
      </w:r>
    </w:p>
    <w:p w14:paraId="12D482C2" w14:textId="77777777" w:rsidR="00643023" w:rsidRPr="009C6090" w:rsidRDefault="00643023" w:rsidP="00643023">
      <w:pPr>
        <w:spacing w:after="80"/>
        <w:ind w:left="340" w:hanging="340"/>
        <w:jc w:val="both"/>
      </w:pPr>
      <w:r>
        <w:rPr>
          <w:sz w:val="16"/>
          <w:szCs w:val="16"/>
        </w:rPr>
        <w:t>Khanuja, S., Dandapat, S., Srinivasan, A., Sitaram, S., and Choudhury, M. (2020). GLUECoS: An evaluation benchmark for code-switched NLP. Proceedings of the 58th Annual Meeting of the Association for Computational Linguistics, 3575–3585. https://doi.org/10.18653/v1/2020.acl-main.329</w:t>
      </w:r>
    </w:p>
    <w:p w14:paraId="7DA9039F" w14:textId="77777777" w:rsidR="00643023" w:rsidRPr="009C6090" w:rsidRDefault="00643023" w:rsidP="00643023">
      <w:pPr>
        <w:spacing w:after="80"/>
        <w:ind w:left="340" w:hanging="340"/>
        <w:jc w:val="both"/>
      </w:pPr>
      <w:r>
        <w:rPr>
          <w:sz w:val="16"/>
          <w:szCs w:val="16"/>
        </w:rPr>
        <w:t>Kong, J. T. H., Juwono, F. H., Ngu, I. Y., Nugraha, I. G. D., Maraden, Y., and Wong, W. K. (2023). A mixed Malay-English language COVID-19 Twitter dataset: A sentiment analysis. Big Data and Cognitive Computing, 7(2), 61. https://doi.org/10.3390/bdcc7020061</w:t>
      </w:r>
    </w:p>
    <w:p w14:paraId="57FCDEF9" w14:textId="77777777" w:rsidR="00643023" w:rsidRPr="009C6090" w:rsidRDefault="00643023" w:rsidP="00643023">
      <w:pPr>
        <w:spacing w:after="80"/>
        <w:ind w:left="340" w:hanging="340"/>
        <w:jc w:val="both"/>
      </w:pPr>
      <w:r>
        <w:rPr>
          <w:sz w:val="16"/>
          <w:szCs w:val="16"/>
        </w:rPr>
        <w:t>Maskat, R., and Rahman, N. A. (2020). Categorization of Malay social media text and normalization of spelling variations and vowel-less words. International Journal on Advanced Science, Engineering and Information Technology, 10(4), 1380–1386.</w:t>
      </w:r>
    </w:p>
    <w:p w14:paraId="1B02EC2C" w14:textId="77777777" w:rsidR="00643023" w:rsidRPr="009C6090" w:rsidRDefault="00643023" w:rsidP="00643023">
      <w:pPr>
        <w:spacing w:after="80"/>
        <w:ind w:left="340" w:hanging="340"/>
        <w:jc w:val="both"/>
      </w:pPr>
      <w:r>
        <w:rPr>
          <w:sz w:val="16"/>
          <w:szCs w:val="16"/>
        </w:rPr>
        <w:t>Mohd Shamsuddin, A. M., Samson Juan, S., Chua, S., and Bramantoro, A. (2024). Semi-automatic sentiment identification for Malay-English code-switched data. Journal of Advanced Research Design, 123(1), 198–212. https://doi.org/10.37934/ard.123.1.198212</w:t>
      </w:r>
    </w:p>
    <w:p w14:paraId="5A2B152C"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41D813DF" w14:textId="77777777" w:rsidR="00643023" w:rsidRPr="009C6090" w:rsidRDefault="00643023" w:rsidP="00643023">
      <w:pPr>
        <w:spacing w:after="80"/>
        <w:ind w:left="340" w:hanging="340"/>
        <w:jc w:val="both"/>
      </w:pPr>
      <w:r>
        <w:rPr>
          <w:sz w:val="16"/>
          <w:szCs w:val="16"/>
        </w:rPr>
        <w:t>Northcutt, C. G., Athalye, A., and Mueller, J. (2021). Pervasive label errors in test sets destabilize machine learning benchmarks. Proceedings of the 35th Conference on Neural Information Processing Systems (NeurIPS): Datasets and Benchmarks Track.</w:t>
      </w:r>
    </w:p>
    <w:p w14:paraId="197F3884"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40A7E603" w14:textId="77777777" w:rsidR="00643023" w:rsidRPr="009C6090" w:rsidRDefault="00643023" w:rsidP="00643023">
      <w:pPr>
        <w:spacing w:after="80"/>
        <w:ind w:left="340" w:hanging="340"/>
        <w:jc w:val="both"/>
      </w:pPr>
      <w:r>
        <w:rPr>
          <w:sz w:val="16"/>
          <w:szCs w:val="16"/>
        </w:rPr>
        <w:t>Romadhona, N. P., Lu, S.-E., Lu, B.-H., and Tsai, R. T.-H. (2022). BRCC and SentiBahasaRojak: The first Bahasa Rojak corpus for pretraining and sentiment analysis dataset. Proceedings of the 29th International Conference on Computational Linguistics (COLING), 4418–4428.</w:t>
      </w:r>
    </w:p>
    <w:p w14:paraId="042FD490" w14:textId="77777777" w:rsidR="00643023" w:rsidRPr="009C6090" w:rsidRDefault="00643023" w:rsidP="00643023">
      <w:pPr>
        <w:spacing w:after="80"/>
        <w:ind w:left="340" w:hanging="340"/>
        <w:jc w:val="both"/>
      </w:pPr>
      <w:r>
        <w:rPr>
          <w:sz w:val="16"/>
          <w:szCs w:val="16"/>
        </w:rPr>
        <w:lastRenderedPageBreak/>
        <w:t>Selvaraju, S., Sjarif, N. N. A., and Anuar, M. S. M. (2024). Sentiment analysis in code mixing Malay text: A review. 2024 5th International Conference on Artificial Intelligence and Data Sciences (AiDAS), 280–285. https://doi.org/10.1109/AiDAS63860.2024.10730298</w:t>
      </w:r>
    </w:p>
    <w:p w14:paraId="39FA5920"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5439FF09"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FF9D103" w14:textId="77777777" w:rsidR="00CB1F44" w:rsidRPr="009D7411" w:rsidRDefault="00643023" w:rsidP="009D7411">
      <w:pPr>
        <w:spacing w:after="80"/>
        <w:ind w:left="340" w:hanging="340"/>
        <w:jc w:val="both"/>
      </w:pPr>
      <w:r>
        <w:rPr>
          <w:sz w:val="16"/>
          <w:szCs w:val="16"/>
        </w:rPr>
        <w:t>Winata, G. I., Cahyawijaya, S., Liu, Z., Lin, Z., Madotto,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9A0F4" w14:textId="77777777" w:rsidR="00022C87" w:rsidRPr="006546A0" w:rsidRDefault="00022C87">
      <w:r w:rsidRPr="006546A0">
        <w:separator/>
      </w:r>
    </w:p>
  </w:endnote>
  <w:endnote w:type="continuationSeparator" w:id="0">
    <w:p w14:paraId="466B0504" w14:textId="77777777" w:rsidR="00022C87" w:rsidRPr="006546A0" w:rsidRDefault="00022C87">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9E3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4CD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2C2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65C13E7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1A0A687A"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1C56D03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yongvay@gmail.com</w:t>
                          </w:r>
                        </w:p>
                        <w:p w14:paraId="497F6550"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yongvay@gmail.com</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6C761" w14:textId="77777777" w:rsidR="00022C87" w:rsidRPr="006546A0" w:rsidRDefault="00022C87">
      <w:r w:rsidRPr="006546A0">
        <w:separator/>
      </w:r>
    </w:p>
  </w:footnote>
  <w:footnote w:type="continuationSeparator" w:id="0">
    <w:p w14:paraId="059F7C44" w14:textId="77777777" w:rsidR="00022C87" w:rsidRPr="006546A0" w:rsidRDefault="00022C87">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4EC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International Journal of xxxxxx</w:t>
    </w:r>
  </w:p>
  <w:p w14:paraId="53CB3FFA"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37623F6D"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4F27F7C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75BD"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(OIJI)                                                    Vol. 7 No. 2 (2019)</w:t>
    </w:r>
  </w:p>
  <w:p w14:paraId="0C8D8F9B" w14:textId="77777777" w:rsidR="00EE11D5" w:rsidRPr="006546A0" w:rsidRDefault="00EE11D5">
    <w:pPr>
      <w:pBdr>
        <w:top w:val="nil"/>
        <w:left w:val="nil"/>
        <w:bottom w:val="nil"/>
        <w:right w:val="nil"/>
        <w:between w:val="nil"/>
      </w:pBdr>
      <w:tabs>
        <w:tab w:val="center" w:pos="4252"/>
        <w:tab w:val="right" w:pos="8504"/>
      </w:tabs>
      <w:rPr>
        <w:color w:val="000000"/>
      </w:rPr>
    </w:pPr>
  </w:p>
  <w:p w14:paraId="2DCAECC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4475"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xxxx                                                              </w:t>
    </w:r>
    <w:r w:rsidRPr="006546A0">
      <w:rPr>
        <w:color w:val="000000"/>
      </w:rPr>
      <w:t>xxx</w:t>
    </w:r>
  </w:p>
  <w:p w14:paraId="2485227C"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2288AAB1"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22C87"/>
    <w:rsid w:val="00042CCE"/>
    <w:rsid w:val="0005406F"/>
    <w:rsid w:val="000C3BC5"/>
    <w:rsid w:val="000C540E"/>
    <w:rsid w:val="00123B06"/>
    <w:rsid w:val="001A31B8"/>
    <w:rsid w:val="001B5378"/>
    <w:rsid w:val="001B76A7"/>
    <w:rsid w:val="001C3158"/>
    <w:rsid w:val="001D6639"/>
    <w:rsid w:val="001F1776"/>
    <w:rsid w:val="00292549"/>
    <w:rsid w:val="002E4571"/>
    <w:rsid w:val="00300FB1"/>
    <w:rsid w:val="003079CD"/>
    <w:rsid w:val="00325CBC"/>
    <w:rsid w:val="003920D0"/>
    <w:rsid w:val="003C1FA2"/>
    <w:rsid w:val="003E271D"/>
    <w:rsid w:val="003E5709"/>
    <w:rsid w:val="003E79DB"/>
    <w:rsid w:val="0040646E"/>
    <w:rsid w:val="00410F0E"/>
    <w:rsid w:val="0045157C"/>
    <w:rsid w:val="0045220C"/>
    <w:rsid w:val="00455F1A"/>
    <w:rsid w:val="00464A6B"/>
    <w:rsid w:val="004834EF"/>
    <w:rsid w:val="00483967"/>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81989"/>
    <w:rsid w:val="006C2993"/>
    <w:rsid w:val="00700E7B"/>
    <w:rsid w:val="007161DB"/>
    <w:rsid w:val="00725006"/>
    <w:rsid w:val="00780333"/>
    <w:rsid w:val="00785CDC"/>
    <w:rsid w:val="00787851"/>
    <w:rsid w:val="007F0036"/>
    <w:rsid w:val="00835475"/>
    <w:rsid w:val="00835EB1"/>
    <w:rsid w:val="008442DA"/>
    <w:rsid w:val="00850473"/>
    <w:rsid w:val="00867116"/>
    <w:rsid w:val="008C0BA5"/>
    <w:rsid w:val="00931C73"/>
    <w:rsid w:val="00935B37"/>
    <w:rsid w:val="00953BBB"/>
    <w:rsid w:val="009C19F4"/>
    <w:rsid w:val="009C6090"/>
    <w:rsid w:val="009D7411"/>
    <w:rsid w:val="009F7D9C"/>
    <w:rsid w:val="00A76001"/>
    <w:rsid w:val="00A85005"/>
    <w:rsid w:val="00AA566D"/>
    <w:rsid w:val="00AC2D40"/>
    <w:rsid w:val="00B14C4D"/>
    <w:rsid w:val="00B2442A"/>
    <w:rsid w:val="00B30939"/>
    <w:rsid w:val="00BB7406"/>
    <w:rsid w:val="00C127AD"/>
    <w:rsid w:val="00C34759"/>
    <w:rsid w:val="00C632CC"/>
    <w:rsid w:val="00C67F7D"/>
    <w:rsid w:val="00C7668C"/>
    <w:rsid w:val="00CA6BDB"/>
    <w:rsid w:val="00CB1F44"/>
    <w:rsid w:val="00CC05FA"/>
    <w:rsid w:val="00CE6FEC"/>
    <w:rsid w:val="00D20E38"/>
    <w:rsid w:val="00D714BA"/>
    <w:rsid w:val="00DE32D1"/>
    <w:rsid w:val="00E10A8D"/>
    <w:rsid w:val="00E3160C"/>
    <w:rsid w:val="00E57D3D"/>
    <w:rsid w:val="00E623B3"/>
    <w:rsid w:val="00E76F61"/>
    <w:rsid w:val="00EC3247"/>
    <w:rsid w:val="00ED635A"/>
    <w:rsid w:val="00ED77BD"/>
    <w:rsid w:val="00EE11D5"/>
    <w:rsid w:val="00EE1483"/>
    <w:rsid w:val="00F304DE"/>
    <w:rsid w:val="00F379CB"/>
    <w:rsid w:val="00FB6BE9"/>
    <w:rsid w:val="00FB709E"/>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6B5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DB"/>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6</Pages>
  <Words>2931</Words>
  <Characters>16709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65</cp:revision>
  <cp:lastPrinted>2026-08-20T17:13:00Z</cp:lastPrinted>
  <dcterms:created xsi:type="dcterms:W3CDTF">2026-07-02T08:05:00Z</dcterms:created>
  <dcterms:modified xsi:type="dcterms:W3CDTF">2026-08-24T17:03:00Z</dcterms:modified>
</cp:coreProperties>
</file>