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E89" w14:textId="77777777" w:rsidR="00EE11D5" w:rsidRDefault="00EE11D5">
      <w:pPr>
        <w:widowControl w:val="0"/>
        <w:pBdr>
          <w:top w:val="nil"/>
          <w:left w:val="nil"/>
          <w:bottom w:val="nil"/>
          <w:right w:val="nil"/>
          <w:between w:val="nil"/>
        </w:pBdr>
        <w:spacing w:line="276" w:lineRule="auto"/>
      </w:pPr>
    </w:p>
    <w:p w14:paraId="0A676C14"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40E2A86" w14:textId="77777777">
        <w:tc>
          <w:tcPr>
            <w:tcW w:w="6408" w:type="dxa"/>
          </w:tcPr>
          <w:p w14:paraId="3CA9F87C" w14:textId="77777777" w:rsidR="00EE11D5" w:rsidRDefault="00000000">
            <w:pPr>
              <w:pStyle w:val="Heading1"/>
              <w:tabs>
                <w:tab w:val="left" w:pos="24"/>
              </w:tabs>
            </w:pPr>
            <w:r>
              <w:t>Paper Title</w:t>
            </w:r>
          </w:p>
          <w:p w14:paraId="5FAE6FE2" w14:textId="77777777" w:rsidR="00EE11D5" w:rsidRDefault="00EE11D5">
            <w:pPr>
              <w:tabs>
                <w:tab w:val="left" w:pos="24"/>
              </w:tabs>
              <w:jc w:val="center"/>
              <w:rPr>
                <w:sz w:val="24"/>
                <w:szCs w:val="24"/>
              </w:rPr>
            </w:pPr>
          </w:p>
          <w:p w14:paraId="42070BD7" w14:textId="77777777" w:rsidR="00EE11D5" w:rsidRDefault="00EE11D5">
            <w:pPr>
              <w:tabs>
                <w:tab w:val="left" w:pos="24"/>
              </w:tabs>
              <w:jc w:val="center"/>
              <w:rPr>
                <w:sz w:val="24"/>
                <w:szCs w:val="24"/>
              </w:rPr>
            </w:pPr>
          </w:p>
          <w:p w14:paraId="235E0FAC" w14:textId="77777777" w:rsidR="00EE11D5" w:rsidRDefault="00000000">
            <w:pPr>
              <w:tabs>
                <w:tab w:val="left" w:pos="24"/>
              </w:tabs>
              <w:jc w:val="center"/>
              <w:rPr>
                <w:sz w:val="24"/>
                <w:szCs w:val="24"/>
              </w:rPr>
            </w:pPr>
            <w:r>
              <w:rPr>
                <w:sz w:val="24"/>
                <w:szCs w:val="24"/>
              </w:rPr>
              <w:t>Author(s) Name(s)</w:t>
            </w:r>
          </w:p>
          <w:p w14:paraId="6A8C07C8" w14:textId="77777777" w:rsidR="00EE11D5" w:rsidRDefault="00000000">
            <w:pPr>
              <w:tabs>
                <w:tab w:val="left" w:pos="24"/>
              </w:tabs>
              <w:spacing w:before="120"/>
              <w:jc w:val="center"/>
              <w:rPr>
                <w:i/>
                <w:sz w:val="24"/>
                <w:szCs w:val="24"/>
              </w:rPr>
            </w:pPr>
            <w:r>
              <w:rPr>
                <w:i/>
                <w:sz w:val="24"/>
                <w:szCs w:val="24"/>
              </w:rPr>
              <w:t>Author Affiliation(s)</w:t>
            </w:r>
          </w:p>
          <w:p w14:paraId="19137CBE" w14:textId="77777777" w:rsidR="00EE11D5" w:rsidRDefault="00000000">
            <w:pPr>
              <w:tabs>
                <w:tab w:val="left" w:pos="24"/>
              </w:tabs>
              <w:jc w:val="center"/>
              <w:rPr>
                <w:i/>
                <w:sz w:val="24"/>
                <w:szCs w:val="24"/>
              </w:rPr>
            </w:pPr>
            <w:r>
              <w:rPr>
                <w:i/>
                <w:sz w:val="24"/>
                <w:szCs w:val="24"/>
              </w:rPr>
              <w:t>E-mail</w:t>
            </w:r>
          </w:p>
          <w:p w14:paraId="1BA54CE2" w14:textId="77777777" w:rsidR="00EE11D5" w:rsidRDefault="00EE11D5">
            <w:pPr>
              <w:pStyle w:val="Heading1"/>
              <w:tabs>
                <w:tab w:val="left" w:pos="24"/>
              </w:tabs>
            </w:pPr>
          </w:p>
        </w:tc>
        <w:tc>
          <w:tcPr>
            <w:tcW w:w="1800" w:type="dxa"/>
          </w:tcPr>
          <w:p w14:paraId="2F8334FF" w14:textId="77777777" w:rsidR="00EE11D5" w:rsidRDefault="00000000">
            <w:pPr>
              <w:pStyle w:val="Heading1"/>
              <w:tabs>
                <w:tab w:val="left" w:pos="24"/>
              </w:tabs>
              <w:jc w:val="left"/>
              <w:rPr>
                <w:sz w:val="20"/>
              </w:rPr>
            </w:pPr>
            <w:r>
              <w:rPr>
                <w:sz w:val="20"/>
              </w:rPr>
              <w:t>Article history</w:t>
            </w:r>
          </w:p>
          <w:p w14:paraId="5794EBA2" w14:textId="77777777" w:rsidR="00EE11D5" w:rsidRDefault="00EE11D5">
            <w:pPr>
              <w:pStyle w:val="Heading1"/>
              <w:tabs>
                <w:tab w:val="left" w:pos="24"/>
              </w:tabs>
              <w:rPr>
                <w:b w:val="0"/>
                <w:sz w:val="20"/>
              </w:rPr>
            </w:pPr>
          </w:p>
          <w:p w14:paraId="07208D42" w14:textId="77777777" w:rsidR="00EE11D5" w:rsidRDefault="00000000">
            <w:pPr>
              <w:pStyle w:val="Heading1"/>
              <w:tabs>
                <w:tab w:val="left" w:pos="24"/>
              </w:tabs>
              <w:jc w:val="left"/>
              <w:rPr>
                <w:b w:val="0"/>
                <w:sz w:val="18"/>
                <w:szCs w:val="18"/>
              </w:rPr>
            </w:pPr>
            <w:r>
              <w:rPr>
                <w:b w:val="0"/>
                <w:sz w:val="18"/>
                <w:szCs w:val="18"/>
              </w:rPr>
              <w:t xml:space="preserve">Received:  </w:t>
            </w:r>
          </w:p>
          <w:p w14:paraId="06D7C392" w14:textId="77777777" w:rsidR="00EE11D5" w:rsidRDefault="00000000">
            <w:pPr>
              <w:pStyle w:val="Heading1"/>
              <w:tabs>
                <w:tab w:val="left" w:pos="24"/>
              </w:tabs>
              <w:jc w:val="left"/>
              <w:rPr>
                <w:b w:val="0"/>
                <w:sz w:val="18"/>
                <w:szCs w:val="18"/>
              </w:rPr>
            </w:pPr>
            <w:r>
              <w:rPr>
                <w:b w:val="0"/>
                <w:sz w:val="18"/>
                <w:szCs w:val="18"/>
              </w:rPr>
              <w:t>xx xxx 2023</w:t>
            </w:r>
          </w:p>
          <w:p w14:paraId="1E765A0F" w14:textId="77777777" w:rsidR="00EE11D5" w:rsidRDefault="00EE11D5"/>
          <w:p w14:paraId="3D69B6C2"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1B950AFE" w14:textId="77777777" w:rsidR="00EE11D5" w:rsidRDefault="00000000">
            <w:pPr>
              <w:pStyle w:val="Heading1"/>
              <w:tabs>
                <w:tab w:val="left" w:pos="24"/>
              </w:tabs>
              <w:jc w:val="left"/>
              <w:rPr>
                <w:b w:val="0"/>
                <w:sz w:val="18"/>
                <w:szCs w:val="18"/>
              </w:rPr>
            </w:pPr>
            <w:r>
              <w:rPr>
                <w:b w:val="0"/>
                <w:sz w:val="18"/>
                <w:szCs w:val="18"/>
              </w:rPr>
              <w:t>xx xxx 2023</w:t>
            </w:r>
          </w:p>
          <w:p w14:paraId="3FD375EF" w14:textId="77777777" w:rsidR="00EE11D5" w:rsidRDefault="00EE11D5"/>
          <w:p w14:paraId="2E602C7D" w14:textId="77777777" w:rsidR="00EE11D5" w:rsidRDefault="00000000">
            <w:pPr>
              <w:pStyle w:val="Heading1"/>
              <w:tabs>
                <w:tab w:val="left" w:pos="24"/>
              </w:tabs>
              <w:jc w:val="left"/>
              <w:rPr>
                <w:b w:val="0"/>
                <w:sz w:val="18"/>
                <w:szCs w:val="18"/>
              </w:rPr>
            </w:pPr>
            <w:r>
              <w:rPr>
                <w:b w:val="0"/>
                <w:sz w:val="18"/>
                <w:szCs w:val="18"/>
              </w:rPr>
              <w:t>Accepted:</w:t>
            </w:r>
          </w:p>
          <w:p w14:paraId="3A978902" w14:textId="77777777" w:rsidR="00EE11D5" w:rsidRDefault="00000000">
            <w:pPr>
              <w:pStyle w:val="Heading1"/>
              <w:tabs>
                <w:tab w:val="left" w:pos="24"/>
              </w:tabs>
              <w:jc w:val="left"/>
              <w:rPr>
                <w:b w:val="0"/>
                <w:sz w:val="18"/>
                <w:szCs w:val="18"/>
              </w:rPr>
            </w:pPr>
            <w:r>
              <w:rPr>
                <w:b w:val="0"/>
                <w:sz w:val="18"/>
                <w:szCs w:val="18"/>
              </w:rPr>
              <w:t>xx xxx 2023</w:t>
            </w:r>
          </w:p>
          <w:p w14:paraId="626FE425" w14:textId="77777777" w:rsidR="00EE11D5" w:rsidRDefault="00EE11D5"/>
          <w:p w14:paraId="79905826" w14:textId="77777777" w:rsidR="00EE11D5" w:rsidRDefault="00000000">
            <w:pPr>
              <w:pStyle w:val="Heading1"/>
              <w:tabs>
                <w:tab w:val="left" w:pos="24"/>
              </w:tabs>
              <w:jc w:val="left"/>
              <w:rPr>
                <w:b w:val="0"/>
                <w:sz w:val="18"/>
                <w:szCs w:val="18"/>
              </w:rPr>
            </w:pPr>
            <w:r>
              <w:rPr>
                <w:b w:val="0"/>
                <w:sz w:val="18"/>
                <w:szCs w:val="18"/>
              </w:rPr>
              <w:t xml:space="preserve">Published online: </w:t>
            </w:r>
          </w:p>
          <w:p w14:paraId="31929B8C" w14:textId="77777777" w:rsidR="00EE11D5" w:rsidRDefault="00000000">
            <w:pPr>
              <w:pStyle w:val="Heading1"/>
              <w:tabs>
                <w:tab w:val="left" w:pos="24"/>
              </w:tabs>
              <w:jc w:val="left"/>
              <w:rPr>
                <w:b w:val="0"/>
                <w:sz w:val="18"/>
                <w:szCs w:val="18"/>
              </w:rPr>
            </w:pPr>
            <w:r>
              <w:rPr>
                <w:b w:val="0"/>
                <w:sz w:val="18"/>
                <w:szCs w:val="18"/>
              </w:rPr>
              <w:t>xx xxx 2023</w:t>
            </w:r>
          </w:p>
          <w:p w14:paraId="60661982" w14:textId="77777777" w:rsidR="00EE11D5" w:rsidRDefault="00EE11D5">
            <w:pPr>
              <w:pStyle w:val="Heading1"/>
              <w:tabs>
                <w:tab w:val="left" w:pos="24"/>
              </w:tabs>
              <w:jc w:val="left"/>
              <w:rPr>
                <w:b w:val="0"/>
                <w:sz w:val="18"/>
                <w:szCs w:val="18"/>
              </w:rPr>
            </w:pPr>
          </w:p>
          <w:p w14:paraId="47ED6D4A"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7A867A49" w14:textId="77777777" w:rsidR="00EE11D5" w:rsidRDefault="00000000">
            <w:pPr>
              <w:pStyle w:val="Heading1"/>
              <w:tabs>
                <w:tab w:val="left" w:pos="24"/>
              </w:tabs>
              <w:jc w:val="left"/>
              <w:rPr>
                <w:b w:val="0"/>
                <w:sz w:val="20"/>
              </w:rPr>
            </w:pPr>
            <w:r>
              <w:rPr>
                <w:b w:val="0"/>
                <w:sz w:val="18"/>
                <w:szCs w:val="18"/>
              </w:rPr>
              <w:t>xyz @utm.my</w:t>
            </w:r>
          </w:p>
        </w:tc>
      </w:tr>
    </w:tbl>
    <w:p w14:paraId="7E820EA6" w14:textId="77777777" w:rsidR="00EE11D5" w:rsidRDefault="00000000">
      <w:pPr>
        <w:pStyle w:val="Heading1"/>
        <w:tabs>
          <w:tab w:val="left" w:pos="24"/>
        </w:tabs>
        <w:spacing w:before="240" w:after="120"/>
        <w:rPr>
          <w:i/>
          <w:sz w:val="20"/>
        </w:rPr>
      </w:pPr>
      <w:r>
        <w:rPr>
          <w:i/>
          <w:sz w:val="20"/>
        </w:rPr>
        <w:t>Abstract</w:t>
      </w:r>
    </w:p>
    <w:p w14:paraId="2E43EA27" w14:textId="7D8F7611" w:rsidR="00222FCD" w:rsidRPr="00222FCD" w:rsidRDefault="00222FCD" w:rsidP="00222FCD">
      <w:pPr>
        <w:jc w:val="both"/>
        <w:rPr>
          <w:i/>
          <w:iCs/>
        </w:rPr>
      </w:pPr>
      <w:r>
        <w:rPr>
          <w:i/>
          <w:iCs/>
        </w:rPr>
        <w:t xml:space="preserve">Sentiment analysis of Malaysian Malay-English text needs reliable labels for both training and testing. However, the four Malaysian resources discussed in this review provide limited evidence of label quality. This review discusses the language features that make the annotation difficult, compares methods of assigning labels, and examines how researchers determine agreement. One concern is whether a neutral label means that the message has no sentiment or it means that a tool has missed the sentiment. For example, 78.23% of MESocSentiment posts are labelled as neutral, and its published examples also include positive Malay-English expressions that automatic tools labelled as neutral. These examples show that further checking is needed. Besides that, another concern is that Cohen’s kappa can be difficult to interpret when one label is much more common than the others. Future studies should explain their annotation procedures, retain individual labels, and report agreement for the task being studied.  </w:t>
      </w:r>
    </w:p>
    <w:p w14:paraId="5FC6DFDE" w14:textId="77777777" w:rsidR="00EE11D5" w:rsidRDefault="00EE11D5">
      <w:pPr>
        <w:pBdr>
          <w:top w:val="nil"/>
          <w:left w:val="nil"/>
          <w:bottom w:val="nil"/>
          <w:right w:val="nil"/>
          <w:between w:val="nil"/>
        </w:pBdr>
        <w:tabs>
          <w:tab w:val="left" w:pos="24"/>
        </w:tabs>
        <w:jc w:val="both"/>
        <w:rPr>
          <w:color w:val="000000"/>
          <w:sz w:val="24"/>
          <w:szCs w:val="24"/>
        </w:rPr>
      </w:pPr>
    </w:p>
    <w:p w14:paraId="3DD3FF47" w14:textId="4AA7CD3A"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Pr>
          <w:i/>
          <w:color w:val="000000"/>
        </w:rPr>
        <w:t>sentiment analysis, code-mixed text, Manglish, annotation reliability, inter-annotator agreement</w:t>
      </w:r>
    </w:p>
    <w:p w14:paraId="08F50AE8" w14:textId="77777777" w:rsidR="00EE11D5" w:rsidRDefault="00EE11D5">
      <w:pPr>
        <w:tabs>
          <w:tab w:val="left" w:pos="24"/>
        </w:tabs>
        <w:jc w:val="both"/>
        <w:rPr>
          <w:sz w:val="24"/>
          <w:szCs w:val="24"/>
        </w:rPr>
      </w:pPr>
    </w:p>
    <w:p w14:paraId="3BB01E07" w14:textId="77777777" w:rsidR="00EE11D5" w:rsidRDefault="00000000">
      <w:pPr>
        <w:tabs>
          <w:tab w:val="left" w:pos="24"/>
        </w:tabs>
        <w:jc w:val="both"/>
        <w:rPr>
          <w:b/>
          <w:sz w:val="26"/>
          <w:szCs w:val="26"/>
        </w:rPr>
      </w:pPr>
      <w:r>
        <w:rPr>
          <w:b/>
          <w:sz w:val="26"/>
          <w:szCs w:val="26"/>
        </w:rPr>
        <w:t>1. Introduction</w:t>
      </w:r>
    </w:p>
    <w:p w14:paraId="3A331137" w14:textId="09889FB8"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(Poria et al., 2023). </w:t>
      </w:r>
      <w:r>
        <w:rPr>
          <w:sz w:val="24"/>
          <w:szCs w:val="24"/>
          <w:lang w:val="en-GB"/>
        </w:rPr>
        <w:t xml:space="preserve">Organisations use it to analyse opinions and sentiments in areas such as consumer products and services (Liu, 2012), public health commentary (Zunic et al., 2020), political elections (Chauhan et al., 2021) and financial services (Du et al., 2024). </w:t>
      </w:r>
      <w:r>
        <w:rPr>
          <w:sz w:val="24"/>
          <w:szCs w:val="24"/>
        </w:rPr>
        <w:t xml:space="preserve">However, most language resources used to train language models are developed for individual languages only (Joshi et al., 2020). This becomes a problem when a single utterance alternates between two or more languages, a practice known as code-switching (Poplack, 1980; Doğruöz et al., 2021). A lexicon-based analyser or a monolingual language model may detect sentiment expressed in one language but not in the other, because the sentiment-bearing words of the second language are absent from its lexicon or vocabulary. The polarity those words carry therefore contributes no evidence to the prediction, and the utterance receives an incorrect label (Vilares et al., 2017). As a result, the performance on code-switched text is substantially lower than the performance on the same tasks in a monolingual setting (Doğruöz et al., 2021; Winata et al., 2023). Both types of system appear throughout </w:t>
      </w:r>
      <w:r>
        <w:rPr>
          <w:sz w:val="24"/>
          <w:szCs w:val="24"/>
        </w:rPr>
        <w:lastRenderedPageBreak/>
        <w:t>this review. The term sentiment tool refers to systems that directly assign sentiment labels, such as lexicon-based analysers, and the term language model refers to models pretrained on large amounts of text, which can subsequently be fine-tuned for a downstream task such as sentiment classification.</w:t>
      </w:r>
    </w:p>
    <w:p w14:paraId="71612E09" w14:textId="21B398A1" w:rsidR="000847E0" w:rsidRPr="00726DB4" w:rsidRDefault="000847E0" w:rsidP="00726DB4">
      <w:pPr>
        <w:spacing w:before="120"/>
        <w:ind w:firstLine="244"/>
        <w:jc w:val="both"/>
        <w:rPr>
          <w:lang w:val="en-GB"/>
        </w:rPr>
      </w:pPr>
      <w:r>
        <w:rPr>
          <w:sz w:val="24"/>
          <w:szCs w:val="24"/>
        </w:rPr>
        <w:t xml:space="preserve">This problem is especially evident in Malaysia. Malay-English code-switching is common in Malaysian social media, where corpora of several hundred thousand such posts have been compiled (Maskat et al., 2024). In this review, the term Manglish is used specifically to refer to Malay-English code-switched language. Manglish communication has recurring switching patterns (Treffers-Daller et al., 2022) and informal spellings, such as x for tidak, camne for macam mana (Maskat and Rahman, 2020). </w:t>
      </w:r>
      <w:r>
        <w:rPr>
          <w:sz w:val="24"/>
          <w:szCs w:val="24"/>
          <w:lang w:val="en-GB"/>
        </w:rPr>
        <w:t>Because such non-standard forms may be absent from standard Malay and English language resources, such as sentiment lexicons and pretrained model vocabularies, systems relying on these resources may have difficulty recognising their meaning (Abu Bakar et al., 2020).</w:t>
      </w:r>
    </w:p>
    <w:p w14:paraId="40AF7E52" w14:textId="7AADB6C8" w:rsidR="000847E0" w:rsidRDefault="00726DB4" w:rsidP="00537E67">
      <w:pPr>
        <w:spacing w:before="120"/>
        <w:ind w:firstLine="244"/>
        <w:jc w:val="both"/>
        <w:rPr>
          <w:sz w:val="24"/>
          <w:szCs w:val="24"/>
        </w:rPr>
      </w:pPr>
      <w:r>
        <w:rPr>
          <w:sz w:val="24"/>
          <w:szCs w:val="24"/>
        </w:rPr>
        <w:t>Part of the difficulty of processing Malay-English code-switched text stems from how multilingual language models are built and trained. Multilingual pretrained language models such as mBERT (Devlin et al., 2019) and XLM-RoBERTa (Conneau et al., 2020) are trained on corpora that span many languages: Wikipedia in the case of mBERT and Common Crawl in the case of XLM-RoBERTa. These corpora consist largely of monolingual documents, so such models may receive little or no exposure to code-switched text during training (Doğruöz et al., 2021). Pretraining on several languages does not necessarily guarantee high-quality representations of text in which those languages appear together (Winata et al., 2021). Covering more languages also places demand on model capacity, that is the number of parameters in the model (Conneau et al., 2020). At a fixed parameter count, adding more languages initially benefits low-resource languages through positive transfer, but beyond a certain point performance degrades for all languages, an effect Conneau et al. (2020) term the curse of multilinguality. Further training on code-switched examples can improve performance (Khanuja et al., 2020), but the results vary by language and training conditions (Adilazuarda et al., 2022).</w:t>
      </w:r>
    </w:p>
    <w:p w14:paraId="5B20F9B9" w14:textId="1D2ECBFE"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Data quality also concerns the annotated labels in the training and evaluation datasets. In supervised sentiment analysis, each training example carries a label that specifies its sentiment class (Liu, 2012). Incorrect labels can introduce label noise and cause the model to learn misleading patterns from the training data, which reduces predictive accuracy (Frénay and Verleysen, 2014). Labels are equally important during evaluation, where they serve as the ground truth against which predictions are scored. Errors in evaluation labels can make reported results misleading and may even change which model appears to perform best (Northcutt et al., 2021). Label quality is therefore only one requirement for reliable evaluation; Bowman and Dahl (2021) argue that a benchmark must also be valid for the task, offer adequate statistical power, and discourage socially biased systems. Labelling Manglish is more demanding still, because annotators must interpret creative spellings and abbreviations that do not follow standard conventions (Abu Bakar et al., 2020), as well as English words respelled according to Malay pronunciation, such as kompem for "confirmed" and </w:t>
      </w:r>
      <w:r>
        <w:rPr>
          <w:sz w:val="24"/>
          <w:szCs w:val="24"/>
        </w:rPr>
        <w:lastRenderedPageBreak/>
        <w:t>hensem for "handsome", which Kasmuri and Basiron (2019) term Malayanization words.</w:t>
      </w:r>
    </w:p>
    <w:p w14:paraId="799650A7" w14:textId="39DD5D0E" w:rsidR="006D0C9B" w:rsidRDefault="000847E0" w:rsidP="00537E67">
      <w:pPr>
        <w:spacing w:before="120"/>
        <w:ind w:firstLine="244"/>
        <w:jc w:val="both"/>
        <w:rPr>
          <w:sz w:val="24"/>
          <w:szCs w:val="24"/>
        </w:rPr>
      </w:pPr>
      <w:r>
        <w:rPr>
          <w:sz w:val="24"/>
          <w:szCs w:val="24"/>
        </w:rPr>
        <w:t>These concerns motivate a closer assessment at the resources that currently available. This review examines four Malaysian Malay-English code-switched sentiment resources: MY-EN-CS, SentiBahasaRojak, MyCovid-Senti and MESocSentiment (Kasmuri and Basiron, 2019; Romadhona et al., 2022; Kong et al., 2023; Mohd Shamsuddin et al., 2024). For a resource to support sentiment analysis across a broad range of topics, rather than a single domain such as public health, this review considers four desirable features: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Evaluated against these criteria, each resource meets some of them but none meets all four, as Sections 4 and 5 show.</w:t>
      </w:r>
    </w:p>
    <w:p w14:paraId="6B7127C6" w14:textId="47C84D72" w:rsidR="000847E0" w:rsidRDefault="000847E0" w:rsidP="00537E67">
      <w:pPr>
        <w:spacing w:before="120"/>
        <w:ind w:firstLine="244"/>
        <w:jc w:val="both"/>
        <w:rPr>
          <w:sz w:val="24"/>
          <w:szCs w:val="24"/>
        </w:rPr>
      </w:pPr>
      <w:r>
        <w:rPr>
          <w:sz w:val="24"/>
          <w:szCs w:val="24"/>
        </w:rPr>
        <w:t>The class distribution is the first gap. MESocSentiment is the largest of these resources by the number of labelled messages, but 78.23% of its posts are labelled neutral (Mohd Shamsuddin et al., 2024). Whether that share is accurate is open to question. Of the six manually checked examples published with the dataset, three contain Malay expressions with positive polarity that were assigned a neutral label (Mohd Shamsuddin et al., 2024). These examples need further investigation, although they do not show the overall error rate.</w:t>
      </w:r>
    </w:p>
    <w:p w14:paraId="2CE165FC" w14:textId="6FC6DE6C" w:rsidR="007815A9" w:rsidRDefault="000847E0" w:rsidP="00537E67">
      <w:pPr>
        <w:spacing w:before="120"/>
        <w:ind w:firstLine="244"/>
        <w:jc w:val="both"/>
        <w:rPr>
          <w:sz w:val="24"/>
          <w:szCs w:val="24"/>
        </w:rPr>
      </w:pPr>
      <w:r>
        <w:rPr>
          <w:sz w:val="24"/>
          <w:szCs w:val="24"/>
        </w:rPr>
        <w:t>Evidence about label reliability is the second gap. The four resources provide limited information about agreement between annotators. MyCovid-Senti and MESocSentiment do not report an agreement coefficient (Kong et al., 2023; Mohd Shamsuddin et al., 2024). MY-EN-CS and SentiBahasaRojak report agreement for two-category tasks: opinionated versus factual and positive versus negative respectively. Neither reports agreement for the three sentiment labels of positive, negative and neutral (Kasmuri and Basiron, 2019; Romadhona et al., 2022).</w:t>
      </w:r>
    </w:p>
    <w:p w14:paraId="7ACE15DE" w14:textId="77A0B131" w:rsidR="008F028A" w:rsidRDefault="007815A9" w:rsidP="00B93FD7">
      <w:pPr>
        <w:spacing w:before="120"/>
        <w:ind w:firstLine="244"/>
        <w:jc w:val="both"/>
        <w:rPr>
          <w:sz w:val="24"/>
          <w:szCs w:val="24"/>
        </w:rPr>
      </w:pPr>
      <w:r>
        <w:rPr>
          <w:sz w:val="24"/>
          <w:szCs w:val="24"/>
        </w:rPr>
        <w:t>To assess inter-annotator agreement, annotators can be instructed to label the same messages independently. An agreement coefficient is then calculated. Cohen's kappa (κ) corrects for agreement expected by chance and is defined for two coders assigning labels (Cohen, 1960). When more than two annotators are involved, generalised coefficients are available, including Fleiss's multi-π, multi-κ and Krippendorff's α (Artstein and Poesio, 2008). However, Cohen's kappa is affected by how often each annotator uses each label, which makes the coefficient harder to interpret when one class is much larger than the others (Feinstein and Cicchetti, 1990; Byrt et al., 1993; Di Eugenio and Glass, 2004). A dataset with many neutral labels therefore requires verification of both label quality and agreement. The problems described so far concern the quality of existing labels. The supply of resources is another limitation, as Selvaraju et al. (2024) reported a shortage of annotated code-mixed Malay resources. The label quality of those already available becomes more significant because there are only few resources exist.</w:t>
      </w:r>
    </w:p>
    <w:p w14:paraId="6AE80A94" w14:textId="112BE3EC" w:rsidR="00B93FD7" w:rsidRPr="00B93FD7" w:rsidRDefault="00695AE9" w:rsidP="00B93FD7">
      <w:pPr>
        <w:spacing w:before="120"/>
        <w:ind w:firstLine="244"/>
        <w:jc w:val="both"/>
        <w:rPr>
          <w:sz w:val="24"/>
          <w:szCs w:val="24"/>
        </w:rPr>
      </w:pPr>
      <w:r>
        <w:rPr>
          <w:sz w:val="24"/>
          <w:szCs w:val="24"/>
        </w:rPr>
        <w:lastRenderedPageBreak/>
        <w:t>These gaps frame the research question addressed in this review: what prevents researchers from establishing reliable annotation and evaluation for Manglish sentiment data? The review approaches this question through three aspects: the linguistic features that complicate annotation, the methods used to assign labels, and the evidence reported for label quality. The purpose is to assess the evidence supporting existing labels and to identify the reliability checks that future studies should report. Reviews of sentiment classifiers and sentiment analysis more broadly are available elsewhere (Poria et al., 2023; Nazir et al., 2022). No new system is proposed.</w:t>
      </w:r>
    </w:p>
    <w:p w14:paraId="13975B3D" w14:textId="3234B75A" w:rsidR="00B93FD7" w:rsidRDefault="00BF3896" w:rsidP="00B93FD7">
      <w:pPr>
        <w:spacing w:before="120"/>
        <w:ind w:firstLine="244"/>
        <w:jc w:val="both"/>
        <w:rPr>
          <w:sz w:val="24"/>
          <w:szCs w:val="24"/>
        </w:rPr>
      </w:pPr>
      <w:r>
        <w:rPr>
          <w:sz w:val="24"/>
          <w:szCs w:val="24"/>
        </w:rPr>
        <w:t>Based on this question, the review makes three contributions:</w:t>
      </w:r>
    </w:p>
    <w:p w14:paraId="7CE34325" w14:textId="64F42A8E" w:rsidR="00B93FD7" w:rsidRDefault="00B93FD7" w:rsidP="00B93FD7">
      <w:pPr>
        <w:pStyle w:val="ListParagraph"/>
        <w:numPr>
          <w:ilvl w:val="0"/>
          <w:numId w:val="4"/>
        </w:numPr>
        <w:spacing w:before="120"/>
        <w:jc w:val="both"/>
        <w:rPr>
          <w:sz w:val="24"/>
          <w:szCs w:val="24"/>
        </w:rPr>
      </w:pPr>
      <w:r>
        <w:rPr>
          <w:sz w:val="24"/>
          <w:szCs w:val="24"/>
        </w:rPr>
        <w:t>It compares manual annotation, existing sentiment tools and generative models, focusing on the effort required and the evidence of label reliability.</w:t>
      </w:r>
    </w:p>
    <w:p w14:paraId="24B4B252" w14:textId="77777777"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reasonable differences in interpretation, and examines the reliability evidence for four Malay-English resources.</w:t>
      </w:r>
    </w:p>
    <w:p w14:paraId="7F56B54D" w14:textId="77777777" w:rsidR="00B93FD7" w:rsidRDefault="00B93FD7" w:rsidP="00B93FD7">
      <w:pPr>
        <w:pStyle w:val="ListParagraph"/>
        <w:numPr>
          <w:ilvl w:val="0"/>
          <w:numId w:val="4"/>
        </w:numPr>
        <w:spacing w:before="120"/>
        <w:jc w:val="both"/>
        <w:rPr>
          <w:sz w:val="24"/>
          <w:szCs w:val="24"/>
        </w:rPr>
      </w:pPr>
      <w:r>
        <w:rPr>
          <w:sz w:val="24"/>
          <w:szCs w:val="24"/>
        </w:rPr>
        <w:t>It shows how language difficulties, labelling methods and class imbalance affect one another, and identifies priorities for future research.</w:t>
      </w:r>
    </w:p>
    <w:p w14:paraId="40AC114A" w14:textId="2F394CDA" w:rsidR="00B93FD7" w:rsidRPr="00B93FD7" w:rsidRDefault="00316EED" w:rsidP="00B93FD7">
      <w:pPr>
        <w:spacing w:before="120"/>
        <w:ind w:firstLine="244"/>
        <w:jc w:val="both"/>
        <w:rPr>
          <w:sz w:val="24"/>
          <w:szCs w:val="24"/>
        </w:rPr>
      </w:pPr>
      <w:r>
        <w:rPr>
          <w:sz w:val="24"/>
          <w:szCs w:val="24"/>
        </w:rPr>
        <w:t>The review is organised as follows. Section 2 describes the literature selection. Section 3 discusses language difficulties, followed by annotation approaches in Section 4 and reliability evaluation in Section 5. Section 6 brings these issues together and outlines research priorities. Section 7 concludes the review.</w:t>
      </w:r>
    </w:p>
    <w:p w14:paraId="23A12819" w14:textId="77777777" w:rsidR="00EE11D5" w:rsidRDefault="00EE11D5">
      <w:pPr>
        <w:tabs>
          <w:tab w:val="left" w:pos="24"/>
        </w:tabs>
        <w:jc w:val="both"/>
        <w:rPr>
          <w:sz w:val="24"/>
          <w:szCs w:val="24"/>
        </w:rPr>
      </w:pPr>
    </w:p>
    <w:p w14:paraId="788C17DA" w14:textId="4F548E23" w:rsidR="00EE11D5" w:rsidRDefault="00000000">
      <w:pPr>
        <w:tabs>
          <w:tab w:val="left" w:pos="24"/>
        </w:tabs>
        <w:jc w:val="both"/>
        <w:rPr>
          <w:b/>
          <w:sz w:val="26"/>
          <w:szCs w:val="26"/>
        </w:rPr>
      </w:pPr>
      <w:r>
        <w:rPr>
          <w:b/>
          <w:sz w:val="26"/>
          <w:szCs w:val="26"/>
        </w:rPr>
        <w:t>2. Review Methodology</w:t>
      </w:r>
    </w:p>
    <w:p w14:paraId="6D788525" w14:textId="77777777" w:rsidR="00316EED" w:rsidRPr="00316EED" w:rsidRDefault="00316EED" w:rsidP="00316EED">
      <w:pPr>
        <w:spacing w:before="120"/>
        <w:ind w:firstLine="244"/>
        <w:jc w:val="both"/>
        <w:rPr>
          <w:sz w:val="24"/>
          <w:szCs w:val="24"/>
        </w:rPr>
      </w:pPr>
      <w:r>
        <w:rPr>
          <w:sz w:val="24"/>
          <w:szCs w:val="24"/>
        </w:rPr>
        <w:t>The literature was identified through structured searches in the ACL Anthology, IEEE Xplore and Scopus. The searches combined terms from three groups. Language terms included code-mixed, code-switching, Manglish, Bahasa Rojak and Malay-English. Task terms included sentiment analysis, polarity and opinion mining. The final group focused on datasets and label quality, using corpus, annotation, inter-annotator agreement and label quality.</w:t>
      </w:r>
    </w:p>
    <w:p w14:paraId="4398C292" w14:textId="4F7C1CD3" w:rsidR="00316EED" w:rsidRPr="00316EED" w:rsidRDefault="00316EED" w:rsidP="00316EED">
      <w:pPr>
        <w:spacing w:before="120"/>
        <w:ind w:firstLine="244"/>
        <w:jc w:val="both"/>
        <w:rPr>
          <w:sz w:val="24"/>
          <w:szCs w:val="24"/>
        </w:rPr>
      </w:pPr>
      <w:r>
        <w:rPr>
          <w:sz w:val="24"/>
          <w:szCs w:val="24"/>
        </w:rPr>
        <w:t>The main search covered studies published from 2019 to 2026. Earlier studies were included when they were cited in the papers found during the search. Studies on agreement measures were not limited to this period because several commonly used measures were introduced before 2019 such as Cohen's kappa (Cohen, 1960).</w:t>
      </w:r>
    </w:p>
    <w:p w14:paraId="566D24B1" w14:textId="2386DFB4" w:rsidR="00316EED" w:rsidRPr="00316EED" w:rsidRDefault="00597712" w:rsidP="00316EED">
      <w:pPr>
        <w:spacing w:before="120"/>
        <w:ind w:firstLine="244"/>
        <w:jc w:val="both"/>
        <w:rPr>
          <w:sz w:val="24"/>
          <w:szCs w:val="24"/>
        </w:rPr>
      </w:pPr>
      <w:r>
        <w:rPr>
          <w:sz w:val="24"/>
          <w:szCs w:val="24"/>
        </w:rPr>
        <w:t>Four criteria were used to determine inclusion. Studies were included if they: (1) examine Malaysian Malay-English text or methods that could be applied to its annotation; (2) explain how labels were produced and checked (3) appear in a peer-reviewed journal or conference; (4) include work on annotation or reliability. Preprints without a peer-reviewed version were excluded.</w:t>
      </w:r>
    </w:p>
    <w:p w14:paraId="644C6A1A" w14:textId="2E9EEC09" w:rsidR="000E3996" w:rsidRDefault="00316EED" w:rsidP="000E3996">
      <w:pPr>
        <w:spacing w:before="120"/>
        <w:ind w:firstLine="244"/>
        <w:jc w:val="both"/>
        <w:rPr>
          <w:sz w:val="24"/>
          <w:szCs w:val="24"/>
        </w:rPr>
      </w:pPr>
      <w:r>
        <w:rPr>
          <w:sz w:val="24"/>
          <w:szCs w:val="24"/>
        </w:rPr>
        <w:t>Studies that only reported classifier accuracy on an existing dataset were excluded. Such studies use the supplied labels to evaluate model performance, but do not necessarily check those labels. This review focuses on the evidence that the labels themselves are reliable.</w:t>
      </w:r>
    </w:p>
    <w:p w14:paraId="6A93B8D1" w14:textId="77777777" w:rsidR="000E3996" w:rsidRPr="00A25694" w:rsidRDefault="000E3996" w:rsidP="000E3996">
      <w:pPr>
        <w:spacing w:before="120"/>
        <w:jc w:val="both"/>
        <w:rPr>
          <w:sz w:val="24"/>
          <w:szCs w:val="24"/>
        </w:rPr>
      </w:pPr>
    </w:p>
    <w:p w14:paraId="76A27002" w14:textId="77777777" w:rsidR="00EE11D5" w:rsidRDefault="00EE11D5">
      <w:pPr>
        <w:tabs>
          <w:tab w:val="left" w:pos="24"/>
        </w:tabs>
        <w:jc w:val="both"/>
        <w:rPr>
          <w:b/>
          <w:sz w:val="24"/>
          <w:szCs w:val="24"/>
        </w:rPr>
      </w:pPr>
    </w:p>
    <w:p w14:paraId="50B0041F" w14:textId="07795F85" w:rsidR="00EE11D5" w:rsidRDefault="00000000">
      <w:pPr>
        <w:tabs>
          <w:tab w:val="left" w:pos="24"/>
        </w:tabs>
        <w:jc w:val="both"/>
        <w:rPr>
          <w:b/>
          <w:sz w:val="26"/>
          <w:szCs w:val="26"/>
        </w:rPr>
      </w:pPr>
      <w:r>
        <w:rPr>
          <w:b/>
          <w:sz w:val="26"/>
          <w:szCs w:val="26"/>
        </w:rPr>
        <w:lastRenderedPageBreak/>
        <w:t>3. Linguistic Challenges for Annotation</w:t>
      </w:r>
    </w:p>
    <w:p w14:paraId="28A26238" w14:textId="2D1C769D" w:rsidR="00A25694" w:rsidRDefault="00A11BA7" w:rsidP="00A25694">
      <w:pPr>
        <w:spacing w:before="120"/>
        <w:ind w:firstLine="244"/>
        <w:jc w:val="both"/>
        <w:rPr>
          <w:sz w:val="24"/>
          <w:szCs w:val="24"/>
        </w:rPr>
      </w:pPr>
      <w:r>
        <w:rPr>
          <w:sz w:val="24"/>
          <w:szCs w:val="24"/>
        </w:rPr>
        <w:t>The selected studies point to three features of Manglish that make sentiment annotation difficult: switching between languages, particles whose meaning depends on context, and non-standard spelling.</w:t>
      </w:r>
    </w:p>
    <w:p w14:paraId="70E572F9"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3F8FF070" w14:textId="372201C1"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388AB9B" w14:textId="778A1E3E" w:rsidR="0086530F" w:rsidRPr="0086530F" w:rsidRDefault="0086530F" w:rsidP="0086530F">
      <w:pPr>
        <w:spacing w:before="120"/>
        <w:ind w:firstLine="244"/>
        <w:jc w:val="both"/>
        <w:rPr>
          <w:sz w:val="24"/>
          <w:szCs w:val="24"/>
        </w:rPr>
      </w:pPr>
      <w:r>
        <w:rPr>
          <w:sz w:val="24"/>
          <w:szCs w:val="24"/>
        </w:rPr>
        <w:t>Malay and English can appear within a single sentence. Treffers-Daller et al. (2022) found frequent switching within clauses in Malaysian classroom speech. However, the study does not establish how common this pattern is in social-media writing.</w:t>
      </w:r>
    </w:p>
    <w:p w14:paraId="1D165E09" w14:textId="31BD15E5" w:rsidR="00A25694" w:rsidRDefault="0086530F" w:rsidP="0086530F">
      <w:pPr>
        <w:spacing w:before="120"/>
        <w:ind w:firstLine="244"/>
        <w:jc w:val="both"/>
        <w:rPr>
          <w:sz w:val="24"/>
          <w:szCs w:val="24"/>
        </w:rPr>
      </w:pPr>
      <w:r>
        <w:rPr>
          <w:sz w:val="24"/>
          <w:szCs w:val="24"/>
        </w:rPr>
        <w:t>This matters for sentiment annotation because an opinion may be expressed in either language. A tool may understand the English part but miss an opinion expressed in Malay. Bilingual annotators can read both parts. However, they still need guidance when a message contains several targets of opinion, because such messages produce inconsistent labels without clear instructions (Mohammad, 2016).</w:t>
      </w:r>
    </w:p>
    <w:p w14:paraId="4DAAE9C6"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1596A24A" w14:textId="1C462466"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1015108E" w14:textId="50CA2D63" w:rsidR="0086530F" w:rsidRPr="00F95336" w:rsidRDefault="0086530F" w:rsidP="00F95336">
      <w:pPr>
        <w:spacing w:before="120"/>
        <w:ind w:firstLine="244"/>
        <w:jc w:val="both"/>
        <w:rPr>
          <w:sz w:val="24"/>
          <w:szCs w:val="24"/>
          <w:lang w:val="en-GB"/>
        </w:rPr>
      </w:pPr>
      <w:r>
        <w:rPr>
          <w:sz w:val="24"/>
          <w:szCs w:val="24"/>
          <w:lang w:val="en-GB"/>
        </w:rPr>
        <w:t xml:space="preserve">Particles such as lah can affect how a message sounds without changing its basic </w:t>
      </w:r>
      <w:r>
        <w:rPr>
          <w:sz w:val="24"/>
          <w:szCs w:val="24"/>
          <w:lang w:val="en-GB"/>
        </w:rPr>
        <w:t>content (</w:t>
      </w:r>
      <w:proofErr w:type="spellStart"/>
      <w:r>
        <w:rPr>
          <w:sz w:val="24"/>
          <w:szCs w:val="24"/>
          <w:lang w:val="en-GB"/>
        </w:rPr>
        <w:t>AlAfnan</w:t>
      </w:r>
      <w:proofErr w:type="spellEnd"/>
      <w:r>
        <w:rPr>
          <w:sz w:val="24"/>
          <w:szCs w:val="24"/>
          <w:lang w:val="en-GB"/>
        </w:rPr>
        <w:t xml:space="preserve"> et al., 2025).</w:t>
      </w:r>
      <w:r>
        <w:rPr>
          <w:sz w:val="24"/>
          <w:szCs w:val="24"/>
          <w:lang w:val="en-GB"/>
        </w:rPr>
        <w:t xml:space="preserve"> Treffers-Daller et al. (2022) </w:t>
      </w:r>
      <w:r>
        <w:rPr>
          <w:sz w:val="24"/>
          <w:szCs w:val="24"/>
          <w:lang w:val="en-GB"/>
        </w:rPr>
        <w:t xml:space="preserve">report </w:t>
      </w:r>
      <w:r w:rsidR="00F0392C">
        <w:rPr>
          <w:sz w:val="24"/>
          <w:szCs w:val="24"/>
          <w:lang w:val="en-GB"/>
        </w:rPr>
        <w:t>a</w:t>
      </w:r>
      <w:r>
        <w:rPr>
          <w:sz w:val="24"/>
          <w:szCs w:val="24"/>
          <w:lang w:val="en-GB"/>
        </w:rPr>
        <w:t xml:space="preserve"> finding that </w:t>
      </w:r>
      <w:proofErr w:type="spellStart"/>
      <w:r>
        <w:rPr>
          <w:sz w:val="24"/>
          <w:szCs w:val="24"/>
          <w:lang w:val="en-GB"/>
        </w:rPr>
        <w:t>lah</w:t>
      </w:r>
      <w:proofErr w:type="spellEnd"/>
      <w:r>
        <w:rPr>
          <w:sz w:val="24"/>
          <w:szCs w:val="24"/>
          <w:lang w:val="en-GB"/>
        </w:rPr>
        <w:t xml:space="preserve"> can change an utterance from an assertive tone into a polite request or a friendly</w:t>
      </w:r>
      <w:r>
        <w:rPr>
          <w:sz w:val="24"/>
          <w:szCs w:val="24"/>
          <w:lang w:val="en-GB"/>
        </w:rPr>
        <w:t xml:space="preserve"> encouragement. AlAfnan et al. (2025) use "Don't disturb la, he's busy" as an example of a softened instruction.</w:t>
      </w:r>
      <w:r>
        <w:t xml:space="preserve"> </w:t>
      </w:r>
      <w:r>
        <w:rPr>
          <w:sz w:val="24"/>
          <w:szCs w:val="24"/>
          <w:lang w:val="en-GB"/>
        </w:rPr>
        <w:t>The spelling la here also shows the variation discussed in Section 3.3. These studies examine classroom speech and television dialogue, so they show what particles can do rather than how often each use appears on social media.</w:t>
      </w:r>
    </w:p>
    <w:p w14:paraId="36CFE4A6" w14:textId="0D50F657" w:rsidR="0086530F" w:rsidRDefault="0086530F" w:rsidP="0086530F">
      <w:pPr>
        <w:spacing w:before="120"/>
        <w:ind w:firstLine="244"/>
        <w:jc w:val="both"/>
        <w:rPr>
          <w:sz w:val="24"/>
          <w:szCs w:val="24"/>
        </w:rPr>
      </w:pPr>
      <w:r>
        <w:rPr>
          <w:sz w:val="24"/>
          <w:szCs w:val="24"/>
        </w:rPr>
        <w:t>Lah therefore cannot be given a fixed positive or negative meaning. Depending on the context, an expression may sound irritated or polite. Annotation guidelines should explain how to consider this tone when deciding whether the message expresses a positive, negative or neutral opinion.</w:t>
      </w:r>
    </w:p>
    <w:p w14:paraId="460B34FD"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2736CF97" w14:textId="67F4D245"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5181FF0B" w14:textId="0978B621" w:rsidR="00F95336" w:rsidRPr="00F95336" w:rsidRDefault="00F95336" w:rsidP="00F95336">
      <w:pPr>
        <w:spacing w:before="120"/>
        <w:ind w:firstLine="244"/>
        <w:jc w:val="both"/>
        <w:rPr>
          <w:sz w:val="24"/>
          <w:szCs w:val="24"/>
          <w:lang w:val="en-GB"/>
        </w:rPr>
      </w:pPr>
      <w:r>
        <w:rPr>
          <w:sz w:val="24"/>
          <w:szCs w:val="24"/>
          <w:lang w:val="en-GB"/>
        </w:rPr>
        <w:t>Users often write Malay words in shortened or informal ways (Maskat and Rahman, 2020). Maskat and Rahman (2020) report forms such as jgn for jangan and mcmana for macam mana. These forms absent from sentiment lexicons and pretrained model vocabularies, so systems relying on these resources may have difficulty recognising their meaning. One response is spelling normalisation, which maps an informal form back to its standard spelling. In Maskat and Rahman's (2020) experiment, the highest precision was 0.43. This means that fewer than half of the proposed matches were correct. However, the evaluation excluded English words and code-mixed posts. The result therefore does not measure performance on Malay-English code-mixed text.</w:t>
      </w:r>
    </w:p>
    <w:p w14:paraId="63D41928" w14:textId="663DA44D" w:rsidR="00A25694" w:rsidRPr="005B7A36" w:rsidRDefault="00F95336" w:rsidP="005B7A36">
      <w:pPr>
        <w:spacing w:before="120"/>
        <w:ind w:firstLine="244"/>
        <w:jc w:val="both"/>
        <w:rPr>
          <w:sz w:val="24"/>
          <w:szCs w:val="24"/>
          <w:lang w:val="en-GB"/>
        </w:rPr>
      </w:pPr>
      <w:r>
        <w:rPr>
          <w:sz w:val="24"/>
          <w:szCs w:val="24"/>
          <w:lang w:val="en-GB"/>
        </w:rPr>
        <w:t xml:space="preserve">Negation makes spelling variation particularly relevant to sentiment. As mentioned in Section 1, x can mean tidak. If a tool or model fails to recognise this </w:t>
      </w:r>
      <w:r>
        <w:rPr>
          <w:sz w:val="24"/>
          <w:szCs w:val="24"/>
          <w:lang w:val="en-GB"/>
        </w:rPr>
        <w:lastRenderedPageBreak/>
        <w:t>negative form, it may misunderstand the opinion. A spelling-normalisation method should therefore be checked for whether it keeps the original sentiment, as well as whether it produces a standard spelling.</w:t>
      </w:r>
      <w:bookmarkStart w:id="0" w:name="_heading=h.gjdgxs" w:colFirst="0" w:colLast="0"/>
      <w:bookmarkEnd w:id="0"/>
    </w:p>
    <w:p w14:paraId="53BA6F1D" w14:textId="77777777" w:rsidR="00EE11D5" w:rsidRDefault="00EE11D5">
      <w:pPr>
        <w:pBdr>
          <w:top w:val="nil"/>
          <w:left w:val="nil"/>
          <w:bottom w:val="nil"/>
          <w:right w:val="nil"/>
          <w:between w:val="nil"/>
        </w:pBdr>
        <w:tabs>
          <w:tab w:val="left" w:pos="24"/>
        </w:tabs>
        <w:jc w:val="both"/>
        <w:rPr>
          <w:color w:val="000000"/>
          <w:sz w:val="24"/>
          <w:szCs w:val="24"/>
        </w:rPr>
      </w:pPr>
    </w:p>
    <w:p w14:paraId="5C768436" w14:textId="77777777" w:rsidR="005B7A36" w:rsidRDefault="00000000" w:rsidP="005B7A36">
      <w:pPr>
        <w:tabs>
          <w:tab w:val="left" w:pos="24"/>
        </w:tabs>
        <w:jc w:val="both"/>
        <w:rPr>
          <w:b/>
          <w:sz w:val="26"/>
          <w:szCs w:val="26"/>
        </w:rPr>
      </w:pPr>
      <w:r>
        <w:rPr>
          <w:b/>
          <w:sz w:val="26"/>
          <w:szCs w:val="26"/>
        </w:rPr>
        <w:t>4. Annotation Approaches and Their Limitations</w:t>
      </w:r>
    </w:p>
    <w:p w14:paraId="5B7F5D31" w14:textId="77777777" w:rsidR="00B8497D" w:rsidRDefault="00B8497D">
      <w:pPr>
        <w:pBdr>
          <w:top w:val="nil"/>
          <w:left w:val="nil"/>
          <w:bottom w:val="nil"/>
          <w:right w:val="nil"/>
          <w:between w:val="nil"/>
        </w:pBdr>
        <w:tabs>
          <w:tab w:val="left" w:pos="24"/>
        </w:tabs>
        <w:jc w:val="both"/>
        <w:rPr>
          <w:b/>
          <w:color w:val="000000"/>
          <w:sz w:val="24"/>
          <w:szCs w:val="24"/>
        </w:rPr>
      </w:pPr>
    </w:p>
    <w:p w14:paraId="69515ED8" w14:textId="4A8AE419"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5536AD07" w14:textId="6C184FE5" w:rsidR="009A3C02" w:rsidRPr="009A3C02" w:rsidRDefault="007C2D5D" w:rsidP="009A3C02">
      <w:pPr>
        <w:spacing w:before="120"/>
        <w:ind w:firstLine="244"/>
        <w:jc w:val="both"/>
        <w:rPr>
          <w:sz w:val="24"/>
          <w:szCs w:val="24"/>
          <w:lang w:val="en-GB"/>
        </w:rPr>
      </w:pPr>
      <w:r>
        <w:rPr>
          <w:sz w:val="24"/>
          <w:szCs w:val="24"/>
          <w:lang w:val="en-GB"/>
        </w:rPr>
        <w:t>A human annotator who is fluent in Malay and English can understand how the language is used locally. A human annotator can read context, informal spellings and particles, and judge the message as a whole. But manual work takes time and requires suitable language skills (Mohd Shamsuddin et al., 2024). Kasmuri and Basiron (2019) developed a subjectivity corpus from blogs. Kong et al. (2023) used three independent annotators and written guidelines to label 11,568 tweets. Human judgement does not always guarantee good labels, so inter- annotator agreement still needed to be assessed.</w:t>
      </w:r>
    </w:p>
    <w:p w14:paraId="3099C3E8" w14:textId="773C0761" w:rsidR="007C2D5D" w:rsidRDefault="007C2D5D" w:rsidP="009A3C02">
      <w:pPr>
        <w:spacing w:before="120"/>
        <w:ind w:firstLine="244"/>
        <w:jc w:val="both"/>
        <w:rPr>
          <w:sz w:val="24"/>
          <w:szCs w:val="24"/>
          <w:lang w:val="en-GB"/>
        </w:rPr>
      </w:pPr>
      <w:r>
        <w:rPr>
          <w:sz w:val="24"/>
          <w:szCs w:val="24"/>
          <w:lang w:val="en-GB"/>
        </w:rPr>
        <w:t>When labelled data are already available, some dataset creators reuse them</w:t>
      </w:r>
      <w:r>
        <w:rPr>
          <w:sz w:val="24"/>
          <w:szCs w:val="24"/>
          <w:lang w:val="en-GB"/>
        </w:rPr>
        <w:t xml:space="preserve"> instead of collecting new text. In SentiBahasaRojak, the product and movie subsets were created by automatically translating parts of existing Malay sentences into other languages, so the code-mixed sentences were machine-produced rather than written by users (Romadhona et al., 2022). The stock-market posts were crawled and annotated by five experts as positive or negative. The reported agreement covers only the stock-market subset. It should therefore be interpreted as evidence for that subset, rather than for the entire dataset.</w:t>
      </w:r>
    </w:p>
    <w:p w14:paraId="7FAAD178" w14:textId="7F851C40" w:rsidR="009A3C02" w:rsidRPr="009A3C02" w:rsidRDefault="009A3C02" w:rsidP="009A3C02">
      <w:pPr>
        <w:spacing w:before="120"/>
        <w:ind w:firstLine="244"/>
        <w:jc w:val="both"/>
        <w:rPr>
          <w:sz w:val="24"/>
          <w:szCs w:val="24"/>
          <w:lang w:val="en-GB"/>
        </w:rPr>
      </w:pPr>
      <w:r>
        <w:rPr>
          <w:sz w:val="24"/>
          <w:szCs w:val="24"/>
          <w:lang w:val="en-GB"/>
        </w:rPr>
        <w:t>Automatic tools can assign labels more quickly. Mohd Shamsuddin et al. (2024) used TextBlob, VADER and pysentimiento to label MESocSentiment. The label supported by the majority of the tools became the final label. The authors describe the overall dataset construction as semi-automatic, although the sentiment labels themselves were assigned automatically. Their accuracy on Malay-English text still needs to be checked separately.</w:t>
      </w:r>
    </w:p>
    <w:p w14:paraId="6C4DDE3E" w14:textId="5732EC3E" w:rsidR="009A3C02" w:rsidRDefault="009A3C02" w:rsidP="009A3C02">
      <w:pPr>
        <w:spacing w:before="120"/>
        <w:ind w:firstLine="244"/>
        <w:jc w:val="both"/>
        <w:rPr>
          <w:sz w:val="24"/>
          <w:szCs w:val="24"/>
          <w:lang w:val="en-GB"/>
        </w:rPr>
      </w:pPr>
      <w:r>
        <w:rPr>
          <w:sz w:val="24"/>
          <w:szCs w:val="24"/>
          <w:lang w:val="en-GB"/>
        </w:rPr>
        <w:t>Generative models offer another way to label text, but their performance needs to be tested for the language and task concerned. Jadhav et al. (2025) found that GPT-4o and Llama 3.1 405B performed worse than a fine-tuned BERT model on four Marathi classification tasks, including sentiment analysis. This finding does not establish how the models would perform on Malaysian text, and none of the studies reviewed here tests generative models as annotators for Malay-English sentiment.</w:t>
      </w:r>
    </w:p>
    <w:p w14:paraId="45E02883"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71B075FB" w14:textId="4A160703"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171D8BAF" w14:textId="77777777" w:rsidR="00064463" w:rsidRDefault="00064463" w:rsidP="00FA1B2B">
      <w:pPr>
        <w:spacing w:before="120"/>
        <w:ind w:firstLine="244"/>
        <w:jc w:val="both"/>
        <w:rPr>
          <w:sz w:val="24"/>
          <w:szCs w:val="24"/>
          <w:lang w:val="en-GB"/>
        </w:rPr>
      </w:pPr>
      <w:r>
        <w:rPr>
          <w:sz w:val="24"/>
          <w:szCs w:val="24"/>
          <w:lang w:val="en-GB"/>
        </w:rPr>
        <w:t>MESocSentiment contains 19,714 posts, of which 78.23% are labelled neutral, 16.33% positive and 5.44% negative (Mohd Shamsuddin et al., 2024). A large neutral class does not automatically mean that the labels are wrong. It may reflect the topics collected, the limited coverage of the labelling tools, or messages whose sentiment is genuinely uncertain. The question is whether some posts were labelled as neutral because the tools failed to recognise an opinion.</w:t>
      </w:r>
    </w:p>
    <w:p w14:paraId="717C2B9B" w14:textId="14658EA2" w:rsidR="00FA1B2B" w:rsidRDefault="00FA1B2B" w:rsidP="00FA1B2B">
      <w:pPr>
        <w:spacing w:before="120"/>
        <w:ind w:firstLine="244"/>
        <w:jc w:val="both"/>
        <w:rPr>
          <w:sz w:val="24"/>
          <w:szCs w:val="24"/>
          <w:lang w:val="en-GB"/>
        </w:rPr>
      </w:pPr>
      <w:r>
        <w:rPr>
          <w:sz w:val="24"/>
          <w:szCs w:val="24"/>
          <w:lang w:val="en-GB"/>
        </w:rPr>
        <w:lastRenderedPageBreak/>
        <w:t>A neutral share of 78% is high compared with other Malaysian data. In Kong et al. (2023), three annotators labelled a COVID-19 Twitter dataset and 23.6% of the posts are neutral. The two datasets cover different content, so the gap is not a like-for-like measure. It does suggest, however, that the neutral share in MESocSentiment is worth investigating.</w:t>
      </w:r>
    </w:p>
    <w:p w14:paraId="63FD185B" w14:textId="77777777" w:rsidR="00064463" w:rsidRDefault="00064463" w:rsidP="00FA1B2B">
      <w:pPr>
        <w:spacing w:before="120"/>
        <w:ind w:firstLine="244"/>
        <w:jc w:val="both"/>
        <w:rPr>
          <w:sz w:val="24"/>
          <w:szCs w:val="24"/>
          <w:lang w:val="en-GB"/>
        </w:rPr>
      </w:pPr>
      <w:r>
        <w:rPr>
          <w:sz w:val="24"/>
          <w:szCs w:val="24"/>
          <w:lang w:val="en-GB"/>
        </w:rPr>
        <w:t>One possible cause of an incorrect neutral label is limited language coverage. VADER, one of the three tools used, calculates sentiment from the cues it recognises and assigns neutral when the resulting score is near zero (Hutto and Gilbert, 2014). If its resources do not include a Malay expression, that expression may not contribute to the score. A message with an opinion may then receive a neutral label.</w:t>
      </w:r>
    </w:p>
    <w:p w14:paraId="13431F65" w14:textId="688B1241" w:rsidR="00064463" w:rsidRDefault="00064463" w:rsidP="00FA1B2B">
      <w:pPr>
        <w:spacing w:before="120"/>
        <w:ind w:firstLine="244"/>
        <w:jc w:val="both"/>
        <w:rPr>
          <w:sz w:val="24"/>
          <w:szCs w:val="24"/>
          <w:lang w:val="en-GB"/>
        </w:rPr>
      </w:pPr>
      <w:r>
        <w:rPr>
          <w:sz w:val="24"/>
          <w:szCs w:val="24"/>
          <w:lang w:val="en-GB"/>
        </w:rPr>
        <w:t>The examples published with MESocSentiment support this explanation. Of the six manually checked examples presented by Mohd Shamsuddin et al. (2024), three contain positive Malay expressions that were labelled neutral. One of the expressions is memang cantik sangat, meaning really very beautiful. These examples show that the tools can miss Malay sentiment. However, six examples are not enough to estimate the error rate for the whole dataset.</w:t>
      </w:r>
    </w:p>
    <w:p w14:paraId="2D52B850" w14:textId="71C44157" w:rsidR="00065B46" w:rsidRDefault="004569AD" w:rsidP="00065B46">
      <w:pPr>
        <w:spacing w:before="120"/>
        <w:ind w:firstLine="244"/>
        <w:jc w:val="both"/>
        <w:rPr>
          <w:sz w:val="24"/>
          <w:szCs w:val="24"/>
          <w:lang w:val="en-GB"/>
        </w:rPr>
      </w:pPr>
      <w:r>
        <w:rPr>
          <w:sz w:val="24"/>
          <w:szCs w:val="24"/>
          <w:lang w:val="en-GB"/>
        </w:rPr>
        <w:t>Not every neutral label reflects a missed cue. Plank (2022) argues that variation between annotators is not always noise, since a message may have more than one plausible reading. In a study of natural language inference, disagreement between raters persisted even when 50 judgements were collected for each item, and providing more context did not reduce it (Pavlick and Kwiatkowski, 2019). These studies do not measure Malaysian data, but they point to an annotation issue that MESocSentiment does not address. A message with no sentiment should be distinguished from one whose sentiment is uncertain.</w:t>
      </w:r>
    </w:p>
    <w:p w14:paraId="0336F120" w14:textId="77777777" w:rsidR="00065B46" w:rsidRDefault="00065B46" w:rsidP="00065B46">
      <w:pPr>
        <w:jc w:val="both"/>
        <w:rPr>
          <w:sz w:val="24"/>
          <w:szCs w:val="24"/>
          <w:lang w:val="en-GB"/>
        </w:rPr>
      </w:pPr>
    </w:p>
    <w:p w14:paraId="42233A74" w14:textId="5ED75C6B"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6E5AD675" w14:textId="253892C6" w:rsidR="00E66619" w:rsidRDefault="00E66619" w:rsidP="00FA1B2B">
      <w:pPr>
        <w:spacing w:before="120"/>
        <w:ind w:firstLine="244"/>
        <w:jc w:val="both"/>
        <w:rPr>
          <w:sz w:val="24"/>
          <w:szCs w:val="24"/>
          <w:lang w:val="en-GB"/>
        </w:rPr>
      </w:pPr>
      <w:r>
        <w:rPr>
          <w:sz w:val="24"/>
          <w:szCs w:val="24"/>
          <w:lang w:val="en-GB"/>
        </w:rPr>
        <w:t>Majority voting weights all answers equally, so the final label is wrong whenever the majority is wrong (Hovy et al., 2013). In MESocSentiment, the voters are tools rather than people, but the same limit applies. Each of the three tools labels most retained posts as neutral, as shown in Table 1.</w:t>
      </w:r>
    </w:p>
    <w:p w14:paraId="69CD0FF6" w14:textId="1C8929BB" w:rsidR="000E6A3B" w:rsidRDefault="000E6A3B" w:rsidP="000E6A3B">
      <w:pPr>
        <w:spacing w:before="120"/>
        <w:ind w:firstLine="244"/>
        <w:jc w:val="center"/>
        <w:rPr>
          <w:sz w:val="24"/>
          <w:szCs w:val="24"/>
          <w:lang w:val="en-GB"/>
        </w:rPr>
      </w:pPr>
      <w:r>
        <w:rPr>
          <w:sz w:val="24"/>
          <w:szCs w:val="24"/>
          <w:lang w:val="en-GB"/>
        </w:rPr>
        <w:t>Table 1. Neutral labels in the retained MESocSentiment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D7AC4A9" w14:textId="77777777" w:rsidTr="000E6A3B">
        <w:trPr>
          <w:tblHeader/>
          <w:jc w:val="center"/>
        </w:trPr>
        <w:tc>
          <w:tcPr>
            <w:tcW w:w="1505" w:type="pct"/>
            <w:shd w:val="clear" w:color="auto" w:fill="4BACC6"/>
            <w:vAlign w:val="center"/>
          </w:tcPr>
          <w:p w14:paraId="6ACF871F" w14:textId="0AF3965D" w:rsidR="000E6A3B" w:rsidRDefault="003470A5" w:rsidP="0069412C">
            <w:pPr>
              <w:tabs>
                <w:tab w:val="left" w:pos="24"/>
              </w:tabs>
              <w:spacing w:line="360" w:lineRule="auto"/>
              <w:rPr>
                <w:b/>
                <w:color w:val="FFFFFF"/>
                <w:sz w:val="24"/>
                <w:szCs w:val="24"/>
              </w:rPr>
            </w:pPr>
            <w:r>
              <w:rPr>
                <w:b/>
                <w:sz w:val="24"/>
                <w:szCs w:val="32"/>
              </w:rPr>
              <w:t>Tool</w:t>
            </w:r>
          </w:p>
        </w:tc>
        <w:tc>
          <w:tcPr>
            <w:tcW w:w="1747" w:type="pct"/>
            <w:shd w:val="clear" w:color="auto" w:fill="4BACC6"/>
            <w:vAlign w:val="center"/>
          </w:tcPr>
          <w:p w14:paraId="367F993D" w14:textId="1549EB11" w:rsidR="000E6A3B" w:rsidRDefault="000E6A3B" w:rsidP="0069412C">
            <w:pPr>
              <w:tabs>
                <w:tab w:val="left" w:pos="24"/>
              </w:tabs>
              <w:spacing w:line="360" w:lineRule="auto"/>
              <w:rPr>
                <w:b/>
                <w:color w:val="FFFFFF"/>
                <w:sz w:val="24"/>
                <w:szCs w:val="24"/>
              </w:rPr>
            </w:pPr>
            <w:r>
              <w:rPr>
                <w:b/>
                <w:sz w:val="24"/>
                <w:szCs w:val="32"/>
              </w:rPr>
              <w:t>Neutral posts</w:t>
            </w:r>
          </w:p>
        </w:tc>
        <w:tc>
          <w:tcPr>
            <w:tcW w:w="1748" w:type="pct"/>
            <w:shd w:val="clear" w:color="auto" w:fill="4BACC6"/>
            <w:vAlign w:val="center"/>
          </w:tcPr>
          <w:p w14:paraId="58267F11" w14:textId="4FCB98A8" w:rsidR="000E6A3B" w:rsidRDefault="000E6A3B" w:rsidP="0069412C">
            <w:pPr>
              <w:tabs>
                <w:tab w:val="left" w:pos="24"/>
              </w:tabs>
              <w:spacing w:line="360" w:lineRule="auto"/>
              <w:rPr>
                <w:b/>
                <w:color w:val="FFFFFF"/>
                <w:sz w:val="24"/>
                <w:szCs w:val="24"/>
              </w:rPr>
            </w:pPr>
            <w:r>
              <w:rPr>
                <w:b/>
                <w:sz w:val="24"/>
                <w:szCs w:val="32"/>
              </w:rPr>
              <w:t>Share</w:t>
            </w:r>
          </w:p>
        </w:tc>
      </w:tr>
      <w:tr w:rsidR="000E6A3B" w14:paraId="757A7CBC" w14:textId="77777777" w:rsidTr="000E6A3B">
        <w:trPr>
          <w:jc w:val="center"/>
        </w:trPr>
        <w:tc>
          <w:tcPr>
            <w:tcW w:w="1505" w:type="pct"/>
            <w:shd w:val="clear" w:color="auto" w:fill="4BACC6"/>
            <w:vAlign w:val="center"/>
          </w:tcPr>
          <w:p w14:paraId="19D7898C" w14:textId="5EE4B2B6" w:rsidR="000E6A3B" w:rsidRDefault="000E6A3B" w:rsidP="0069412C">
            <w:pPr>
              <w:tabs>
                <w:tab w:val="left" w:pos="24"/>
              </w:tabs>
              <w:spacing w:line="360" w:lineRule="auto"/>
              <w:rPr>
                <w:b/>
                <w:color w:val="FFFFFF"/>
                <w:sz w:val="24"/>
                <w:szCs w:val="24"/>
              </w:rPr>
            </w:pPr>
            <w:r>
              <w:rPr>
                <w:sz w:val="24"/>
                <w:szCs w:val="32"/>
              </w:rPr>
              <w:t>TextBlob</w:t>
            </w:r>
          </w:p>
        </w:tc>
        <w:tc>
          <w:tcPr>
            <w:tcW w:w="1747" w:type="pct"/>
            <w:shd w:val="clear" w:color="auto" w:fill="D8D8D8"/>
            <w:vAlign w:val="center"/>
          </w:tcPr>
          <w:p w14:paraId="7CC486F7" w14:textId="06A8CD7B" w:rsidR="000E6A3B" w:rsidRDefault="000E6A3B" w:rsidP="0069412C">
            <w:pPr>
              <w:tabs>
                <w:tab w:val="left" w:pos="24"/>
              </w:tabs>
              <w:spacing w:line="360" w:lineRule="auto"/>
              <w:rPr>
                <w:sz w:val="24"/>
                <w:szCs w:val="24"/>
              </w:rPr>
            </w:pPr>
            <w:r>
              <w:rPr>
                <w:sz w:val="24"/>
                <w:szCs w:val="32"/>
              </w:rPr>
              <w:t>14,305</w:t>
            </w:r>
          </w:p>
        </w:tc>
        <w:tc>
          <w:tcPr>
            <w:tcW w:w="1748" w:type="pct"/>
            <w:shd w:val="clear" w:color="auto" w:fill="D8D8D8"/>
            <w:vAlign w:val="center"/>
          </w:tcPr>
          <w:p w14:paraId="1A7A9A09" w14:textId="14DFA79A" w:rsidR="000E6A3B" w:rsidRDefault="000E6A3B" w:rsidP="0069412C">
            <w:pPr>
              <w:tabs>
                <w:tab w:val="left" w:pos="24"/>
              </w:tabs>
              <w:spacing w:line="360" w:lineRule="auto"/>
              <w:rPr>
                <w:sz w:val="24"/>
                <w:szCs w:val="24"/>
              </w:rPr>
            </w:pPr>
            <w:r>
              <w:rPr>
                <w:sz w:val="24"/>
                <w:szCs w:val="32"/>
              </w:rPr>
              <w:t>72.56%</w:t>
            </w:r>
          </w:p>
        </w:tc>
      </w:tr>
      <w:tr w:rsidR="000E6A3B" w14:paraId="1D0B91B7" w14:textId="77777777" w:rsidTr="000E6A3B">
        <w:trPr>
          <w:jc w:val="center"/>
        </w:trPr>
        <w:tc>
          <w:tcPr>
            <w:tcW w:w="1505" w:type="pct"/>
            <w:shd w:val="clear" w:color="auto" w:fill="4BACC6"/>
            <w:vAlign w:val="center"/>
          </w:tcPr>
          <w:p w14:paraId="77101CD9" w14:textId="632D7019" w:rsidR="000E6A3B" w:rsidRDefault="000E6A3B" w:rsidP="0069412C">
            <w:pPr>
              <w:tabs>
                <w:tab w:val="left" w:pos="24"/>
              </w:tabs>
              <w:spacing w:line="360" w:lineRule="auto"/>
              <w:rPr>
                <w:b/>
                <w:color w:val="FFFFFF"/>
                <w:sz w:val="24"/>
                <w:szCs w:val="24"/>
              </w:rPr>
            </w:pPr>
            <w:r>
              <w:rPr>
                <w:sz w:val="24"/>
                <w:szCs w:val="32"/>
              </w:rPr>
              <w:t>VADER</w:t>
            </w:r>
          </w:p>
        </w:tc>
        <w:tc>
          <w:tcPr>
            <w:tcW w:w="1747" w:type="pct"/>
            <w:vAlign w:val="center"/>
          </w:tcPr>
          <w:p w14:paraId="402FA80B" w14:textId="61324EEA" w:rsidR="000E6A3B" w:rsidRDefault="000E6A3B" w:rsidP="0069412C">
            <w:pPr>
              <w:tabs>
                <w:tab w:val="left" w:pos="24"/>
              </w:tabs>
              <w:spacing w:line="360" w:lineRule="auto"/>
              <w:rPr>
                <w:sz w:val="24"/>
                <w:szCs w:val="24"/>
              </w:rPr>
            </w:pPr>
            <w:r>
              <w:rPr>
                <w:sz w:val="24"/>
                <w:szCs w:val="32"/>
              </w:rPr>
              <w:t>13,115</w:t>
            </w:r>
          </w:p>
        </w:tc>
        <w:tc>
          <w:tcPr>
            <w:tcW w:w="1748" w:type="pct"/>
            <w:vAlign w:val="center"/>
          </w:tcPr>
          <w:p w14:paraId="7F4E8788" w14:textId="620A4D0F" w:rsidR="000E6A3B" w:rsidRDefault="000E6A3B" w:rsidP="0069412C">
            <w:pPr>
              <w:tabs>
                <w:tab w:val="left" w:pos="24"/>
              </w:tabs>
              <w:spacing w:line="360" w:lineRule="auto"/>
              <w:rPr>
                <w:sz w:val="24"/>
                <w:szCs w:val="24"/>
              </w:rPr>
            </w:pPr>
            <w:r>
              <w:rPr>
                <w:sz w:val="24"/>
                <w:szCs w:val="32"/>
              </w:rPr>
              <w:t>66.53%</w:t>
            </w:r>
          </w:p>
        </w:tc>
      </w:tr>
      <w:tr w:rsidR="000E6A3B" w14:paraId="0AAEF02D" w14:textId="77777777" w:rsidTr="000E6A3B">
        <w:trPr>
          <w:jc w:val="center"/>
        </w:trPr>
        <w:tc>
          <w:tcPr>
            <w:tcW w:w="1505" w:type="pct"/>
            <w:shd w:val="clear" w:color="auto" w:fill="4BACC6"/>
            <w:vAlign w:val="center"/>
          </w:tcPr>
          <w:p w14:paraId="5FE1DBB7" w14:textId="403B216D" w:rsidR="000E6A3B" w:rsidRDefault="000E6A3B" w:rsidP="0069412C">
            <w:pPr>
              <w:tabs>
                <w:tab w:val="left" w:pos="24"/>
              </w:tabs>
              <w:spacing w:line="360" w:lineRule="auto"/>
              <w:rPr>
                <w:b/>
                <w:color w:val="FFFFFF"/>
                <w:sz w:val="24"/>
                <w:szCs w:val="24"/>
              </w:rPr>
            </w:pPr>
            <w:r>
              <w:rPr>
                <w:sz w:val="24"/>
                <w:szCs w:val="32"/>
              </w:rPr>
              <w:t>pysentimiento</w:t>
            </w:r>
          </w:p>
        </w:tc>
        <w:tc>
          <w:tcPr>
            <w:tcW w:w="1747" w:type="pct"/>
            <w:shd w:val="clear" w:color="auto" w:fill="D8D8D8"/>
            <w:vAlign w:val="center"/>
          </w:tcPr>
          <w:p w14:paraId="76B6EB32" w14:textId="377E186F" w:rsidR="000E6A3B" w:rsidRDefault="000E6A3B" w:rsidP="0069412C">
            <w:pPr>
              <w:tabs>
                <w:tab w:val="left" w:pos="24"/>
              </w:tabs>
              <w:spacing w:line="360" w:lineRule="auto"/>
              <w:rPr>
                <w:sz w:val="24"/>
                <w:szCs w:val="24"/>
              </w:rPr>
            </w:pPr>
            <w:r>
              <w:rPr>
                <w:sz w:val="24"/>
                <w:szCs w:val="32"/>
              </w:rPr>
              <w:t>16,916</w:t>
            </w:r>
          </w:p>
        </w:tc>
        <w:tc>
          <w:tcPr>
            <w:tcW w:w="1748" w:type="pct"/>
            <w:shd w:val="clear" w:color="auto" w:fill="D8D8D8"/>
            <w:vAlign w:val="center"/>
          </w:tcPr>
          <w:p w14:paraId="6269D6B2" w14:textId="7B7C18E3" w:rsidR="000E6A3B" w:rsidRDefault="000E6A3B" w:rsidP="0069412C">
            <w:pPr>
              <w:tabs>
                <w:tab w:val="left" w:pos="24"/>
              </w:tabs>
              <w:spacing w:line="360" w:lineRule="auto"/>
              <w:rPr>
                <w:sz w:val="24"/>
                <w:szCs w:val="24"/>
              </w:rPr>
            </w:pPr>
            <w:r>
              <w:rPr>
                <w:sz w:val="24"/>
                <w:szCs w:val="32"/>
              </w:rPr>
              <w:t>85.81%</w:t>
            </w:r>
          </w:p>
        </w:tc>
      </w:tr>
      <w:tr w:rsidR="000E6A3B" w14:paraId="0F54787F" w14:textId="77777777" w:rsidTr="000E6A3B">
        <w:trPr>
          <w:jc w:val="center"/>
        </w:trPr>
        <w:tc>
          <w:tcPr>
            <w:tcW w:w="1505" w:type="pct"/>
            <w:shd w:val="clear" w:color="auto" w:fill="4BACC6"/>
            <w:vAlign w:val="center"/>
          </w:tcPr>
          <w:p w14:paraId="1F758AA5" w14:textId="369F6226" w:rsidR="000E6A3B" w:rsidRPr="000E6A3B" w:rsidRDefault="000E6A3B" w:rsidP="0069412C">
            <w:pPr>
              <w:tabs>
                <w:tab w:val="left" w:pos="24"/>
              </w:tabs>
              <w:spacing w:line="360" w:lineRule="auto"/>
              <w:rPr>
                <w:sz w:val="24"/>
                <w:szCs w:val="32"/>
              </w:rPr>
            </w:pPr>
            <w:r>
              <w:rPr>
                <w:sz w:val="24"/>
                <w:szCs w:val="32"/>
              </w:rPr>
              <w:t>Majority vote</w:t>
            </w:r>
          </w:p>
        </w:tc>
        <w:tc>
          <w:tcPr>
            <w:tcW w:w="1747" w:type="pct"/>
            <w:shd w:val="clear" w:color="auto" w:fill="FFFFFF" w:themeFill="background1"/>
            <w:vAlign w:val="center"/>
          </w:tcPr>
          <w:p w14:paraId="7B54B10F" w14:textId="1B85269F" w:rsidR="000E6A3B" w:rsidRPr="000E6A3B" w:rsidRDefault="000E6A3B" w:rsidP="0069412C">
            <w:pPr>
              <w:tabs>
                <w:tab w:val="left" w:pos="24"/>
              </w:tabs>
              <w:spacing w:line="360" w:lineRule="auto"/>
              <w:rPr>
                <w:sz w:val="24"/>
                <w:szCs w:val="32"/>
              </w:rPr>
            </w:pPr>
            <w:r>
              <w:rPr>
                <w:sz w:val="24"/>
                <w:szCs w:val="32"/>
              </w:rPr>
              <w:t>15,422</w:t>
            </w:r>
          </w:p>
        </w:tc>
        <w:tc>
          <w:tcPr>
            <w:tcW w:w="1748" w:type="pct"/>
            <w:shd w:val="clear" w:color="auto" w:fill="FFFFFF" w:themeFill="background1"/>
            <w:vAlign w:val="center"/>
          </w:tcPr>
          <w:p w14:paraId="7B197379" w14:textId="5E275AEE" w:rsidR="000E6A3B" w:rsidRPr="000E6A3B" w:rsidRDefault="000E6A3B" w:rsidP="0069412C">
            <w:pPr>
              <w:tabs>
                <w:tab w:val="left" w:pos="24"/>
              </w:tabs>
              <w:spacing w:line="360" w:lineRule="auto"/>
              <w:rPr>
                <w:sz w:val="24"/>
                <w:szCs w:val="32"/>
              </w:rPr>
            </w:pPr>
            <w:r>
              <w:rPr>
                <w:sz w:val="24"/>
                <w:szCs w:val="32"/>
              </w:rPr>
              <w:t>78.23%</w:t>
            </w:r>
          </w:p>
        </w:tc>
      </w:tr>
    </w:tbl>
    <w:p w14:paraId="55CAA180" w14:textId="6920F1FC" w:rsidR="00EE11D5" w:rsidRDefault="000E6A3B">
      <w:pPr>
        <w:pBdr>
          <w:top w:val="nil"/>
          <w:left w:val="nil"/>
          <w:bottom w:val="nil"/>
          <w:right w:val="nil"/>
          <w:between w:val="nil"/>
        </w:pBdr>
        <w:tabs>
          <w:tab w:val="left" w:pos="24"/>
        </w:tabs>
        <w:jc w:val="both"/>
        <w:rPr>
          <w:color w:val="000000"/>
          <w:sz w:val="24"/>
          <w:szCs w:val="24"/>
        </w:rPr>
      </w:pPr>
      <w:r>
        <w:rPr>
          <w:color w:val="000000"/>
          <w:sz w:val="24"/>
          <w:szCs w:val="24"/>
        </w:rPr>
        <w:t>Source: Mohd Shamsuddin et al. (2024). Percentages are calculated from the 19,714 retained posts.</w:t>
      </w:r>
    </w:p>
    <w:p w14:paraId="53054A44" w14:textId="6D0E3DC0" w:rsidR="000E6A3B" w:rsidRPr="000E6A3B" w:rsidRDefault="000E6A3B" w:rsidP="000E6A3B">
      <w:pPr>
        <w:spacing w:before="120"/>
        <w:ind w:firstLine="244"/>
        <w:jc w:val="both"/>
        <w:rPr>
          <w:sz w:val="24"/>
          <w:szCs w:val="24"/>
          <w:lang w:val="en-GB"/>
        </w:rPr>
      </w:pPr>
      <w:r>
        <w:rPr>
          <w:sz w:val="24"/>
          <w:szCs w:val="24"/>
          <w:lang w:val="en-GB"/>
        </w:rPr>
        <w:t xml:space="preserve">The shares differ by tool. Pysentimiento has the highest neutral share. It is trained for English, Spanish, Portuguese and Italian, and was selected because it is trained on English tweets (Mohd Shamsuddin et al., 2024). Malay is not among these </w:t>
      </w:r>
      <w:r>
        <w:rPr>
          <w:sz w:val="24"/>
          <w:szCs w:val="24"/>
          <w:lang w:val="en-GB"/>
        </w:rPr>
        <w:lastRenderedPageBreak/>
        <w:t>languages. This share alone does not show whether the tool is less accurate. The totals also do not reveal whether the tools make mistakes on the same posts. If at least two out of three tools assign the same incorrect label to a post, the majority label will be incorrect. Bilingual reviewers would need to check the posts independently to answer that question.</w:t>
      </w:r>
    </w:p>
    <w:p w14:paraId="31ABB7D4" w14:textId="328349D9" w:rsidR="000E6A3B" w:rsidRDefault="000E6A3B" w:rsidP="000E6A3B">
      <w:pPr>
        <w:spacing w:before="120"/>
        <w:ind w:firstLine="244"/>
        <w:jc w:val="both"/>
        <w:rPr>
          <w:sz w:val="24"/>
          <w:szCs w:val="24"/>
          <w:lang w:val="en-GB"/>
        </w:rPr>
      </w:pPr>
      <w:r>
        <w:rPr>
          <w:sz w:val="24"/>
          <w:szCs w:val="24"/>
          <w:lang w:val="en-GB"/>
        </w:rPr>
        <w:t>The authors removed 512 of the original 20,226 posts because all three tools gave different labels (Mohd Shamsuddin et al., 2024). Each removed post therefore had one neutral vote, one positive vote and one negative vote. The number of neutral posts stayed at 15,422 while the total became smaller, so the neutral share rose from 76.24% to 78.23%. Removing disputed posts may also exclude difficult examples, although the published counts do not show what these posts contain. Keeping the posts and each tool's labels would allow researchers to examine the disagreements directly (Uma et al., 2021).</w:t>
      </w:r>
    </w:p>
    <w:p w14:paraId="03028B93" w14:textId="77777777" w:rsidR="00A27D4E" w:rsidRDefault="00A27D4E" w:rsidP="00A27D4E">
      <w:pPr>
        <w:jc w:val="both"/>
        <w:rPr>
          <w:sz w:val="24"/>
          <w:szCs w:val="24"/>
          <w:lang w:val="en-GB"/>
        </w:rPr>
      </w:pPr>
    </w:p>
    <w:p w14:paraId="76C5B714" w14:textId="64D76005" w:rsidR="00A27D4E" w:rsidRPr="00A27D4E" w:rsidRDefault="00A27D4E" w:rsidP="00A27D4E">
      <w:pPr>
        <w:tabs>
          <w:tab w:val="left" w:pos="24"/>
        </w:tabs>
        <w:jc w:val="both"/>
        <w:rPr>
          <w:b/>
          <w:sz w:val="26"/>
          <w:szCs w:val="26"/>
        </w:rPr>
      </w:pPr>
      <w:r>
        <w:rPr>
          <w:b/>
          <w:sz w:val="26"/>
          <w:szCs w:val="26"/>
        </w:rPr>
        <w:t>5. Evaluating Annotation Reliability</w:t>
      </w:r>
    </w:p>
    <w:p w14:paraId="59C620A1" w14:textId="54F3FAF7" w:rsidR="007D0BA7" w:rsidRDefault="007D0BA7" w:rsidP="00A27D4E">
      <w:pPr>
        <w:spacing w:before="120"/>
        <w:ind w:firstLine="244"/>
        <w:jc w:val="both"/>
        <w:rPr>
          <w:sz w:val="24"/>
          <w:szCs w:val="24"/>
          <w:lang w:val="en-GB"/>
        </w:rPr>
      </w:pPr>
      <w:r>
        <w:rPr>
          <w:sz w:val="24"/>
          <w:szCs w:val="24"/>
          <w:lang w:val="en-GB"/>
        </w:rPr>
        <w:t xml:space="preserve">Agreement shows how consistently annotators assign the three sentiment labels, but it does not prove that the labels are correct. Two annotators may agree simply because they made the same </w:t>
      </w:r>
      <w:r>
        <w:rPr>
          <w:sz w:val="24"/>
          <w:szCs w:val="24"/>
          <w:lang w:val="en-GB"/>
        </w:rPr>
        <w:t>mistake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2008).</w:t>
      </w:r>
      <w:r>
        <w:rPr>
          <w:sz w:val="24"/>
          <w:szCs w:val="24"/>
          <w:lang w:val="en-GB"/>
        </w:rPr>
        <w:t xml:space="preserve"> Cohen's kappa (Cohen, 1960) does not detect shared errors. It corrects only for agreement expected by chance. It measures how far the observed agreement exceeds the agreement expected by chance, where chance is estimated from how often each annotator uses each label. Artstein and Poesio (2008) discuss a scale proposed by </w:t>
      </w:r>
      <w:r>
        <w:rPr>
          <w:sz w:val="24"/>
          <w:szCs w:val="24"/>
        </w:rPr>
        <w:t>Krippendorff (1980), in which</w:t>
      </w:r>
      <w:r>
        <w:rPr>
          <w:sz w:val="24"/>
          <w:szCs w:val="24"/>
          <w:lang w:val="en-GB"/>
        </w:rPr>
        <w:t xml:space="preserve"> values above 0.8 as reliable, and values between 0.67 and 0.8 as supporting only tentative conclusions. These ranges should be read as guidance rather than fixed rules, because the task, the annotators, and the label distribution all affect what a given value means.</w:t>
      </w:r>
    </w:p>
    <w:p w14:paraId="79144A85" w14:textId="129DAAFC" w:rsidR="007D0BA7" w:rsidRDefault="007D0BA7" w:rsidP="007D0BA7">
      <w:pPr>
        <w:spacing w:before="120"/>
        <w:ind w:firstLine="244"/>
        <w:jc w:val="both"/>
        <w:rPr>
          <w:sz w:val="24"/>
          <w:szCs w:val="24"/>
          <w:lang w:val="en-GB"/>
        </w:rPr>
      </w:pPr>
      <w:r>
        <w:rPr>
          <w:sz w:val="24"/>
          <w:szCs w:val="24"/>
          <w:lang w:val="en-GB"/>
        </w:rPr>
        <w:t>The label distribution deserves particular attention. When one label is far more common than the others, the agreement expected by chance rises, and kappa falls even if the annotators match on the same proportion of items. Di Eugenio and Glass (2004) illustrate this with two binary examples that both reach 90% observed agreement. Kappa is 0.80 for the balanced example, but -0.048 for the skewed one. Sentiment corpora can be skewed in this way. In MESocSentiment, 78.23% of posts are labelled neutral (Mohd Shamsuddin et al., 2024). Thus, observed agreement and kappa should therefore be reported and read together.</w:t>
      </w:r>
    </w:p>
    <w:p w14:paraId="0715F0FD" w14:textId="276C6EBB" w:rsidR="007D0BA7" w:rsidRDefault="0069412C" w:rsidP="00A27D4E">
      <w:pPr>
        <w:spacing w:before="120"/>
        <w:ind w:firstLine="244"/>
        <w:jc w:val="both"/>
        <w:rPr>
          <w:sz w:val="24"/>
          <w:szCs w:val="24"/>
          <w:lang w:val="en-GB"/>
        </w:rPr>
      </w:pPr>
      <w:r>
        <w:rPr>
          <w:sz w:val="24"/>
          <w:szCs w:val="24"/>
          <w:lang w:val="en-GB"/>
        </w:rPr>
        <w:t>This applies directly to sentiment data, where neutral label often dominates. Overall agreement should therefore be reported alongside per-class agreement, so that weak agreement on the smaller classes is not hidden by the large one. The annotations must also be stored per annotator, not only as label totals, because Cohen's kappa needs to know which annotator chose which label (Di Eugenio and Glass, 2004). No single coefficient gives a complete account of reliability.</w:t>
      </w:r>
    </w:p>
    <w:p w14:paraId="6311B1A5" w14:textId="77777777" w:rsidR="00224568" w:rsidRDefault="00224568">
      <w:pPr>
        <w:rPr>
          <w:sz w:val="24"/>
          <w:szCs w:val="24"/>
          <w:lang w:val="en-GB"/>
        </w:rPr>
      </w:pPr>
      <w:r>
        <w:rPr>
          <w:sz w:val="24"/>
          <w:szCs w:val="24"/>
          <w:lang w:val="en-GB"/>
        </w:rPr>
        <w:br w:type="page"/>
      </w:r>
    </w:p>
    <w:p w14:paraId="5A55CB3E" w14:textId="6C03A65A" w:rsidR="0069412C" w:rsidRDefault="0069412C" w:rsidP="0069412C">
      <w:pPr>
        <w:spacing w:before="120"/>
        <w:ind w:firstLine="244"/>
        <w:jc w:val="center"/>
        <w:rPr>
          <w:sz w:val="24"/>
          <w:szCs w:val="24"/>
          <w:lang w:val="en-GB"/>
        </w:rPr>
      </w:pPr>
      <w:r>
        <w:rPr>
          <w:sz w:val="24"/>
          <w:szCs w:val="24"/>
          <w:lang w:val="en-GB"/>
        </w:rPr>
        <w:lastRenderedPageBreak/>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26846BF5" w14:textId="77777777" w:rsidTr="00602695">
        <w:trPr>
          <w:tblHeader/>
          <w:jc w:val="center"/>
        </w:trPr>
        <w:tc>
          <w:tcPr>
            <w:tcW w:w="1505" w:type="pct"/>
            <w:shd w:val="clear" w:color="auto" w:fill="4BACC6"/>
            <w:vAlign w:val="center"/>
          </w:tcPr>
          <w:p w14:paraId="2862F1FA" w14:textId="122A6D30" w:rsidR="0069412C" w:rsidRPr="0069412C" w:rsidRDefault="0069412C" w:rsidP="0069412C">
            <w:pPr>
              <w:tabs>
                <w:tab w:val="left" w:pos="24"/>
              </w:tabs>
              <w:spacing w:line="360" w:lineRule="auto"/>
              <w:rPr>
                <w:b/>
                <w:color w:val="FFFFFF"/>
                <w:sz w:val="24"/>
                <w:szCs w:val="32"/>
              </w:rPr>
            </w:pPr>
            <w:r>
              <w:rPr>
                <w:b/>
                <w:sz w:val="24"/>
                <w:szCs w:val="32"/>
              </w:rPr>
              <w:t>Resource</w:t>
            </w:r>
          </w:p>
        </w:tc>
        <w:tc>
          <w:tcPr>
            <w:tcW w:w="1747" w:type="pct"/>
            <w:shd w:val="clear" w:color="auto" w:fill="4BACC6"/>
            <w:vAlign w:val="center"/>
          </w:tcPr>
          <w:p w14:paraId="76E9BF3C" w14:textId="4EAE244F" w:rsidR="0069412C" w:rsidRPr="0069412C" w:rsidRDefault="0069412C" w:rsidP="0069412C">
            <w:pPr>
              <w:tabs>
                <w:tab w:val="left" w:pos="24"/>
              </w:tabs>
              <w:spacing w:line="360" w:lineRule="auto"/>
              <w:rPr>
                <w:b/>
                <w:color w:val="FFFFFF"/>
                <w:sz w:val="24"/>
                <w:szCs w:val="32"/>
              </w:rPr>
            </w:pPr>
            <w:r>
              <w:rPr>
                <w:b/>
                <w:sz w:val="24"/>
                <w:szCs w:val="32"/>
              </w:rPr>
              <w:t>Annotation evidence</w:t>
            </w:r>
          </w:p>
        </w:tc>
        <w:tc>
          <w:tcPr>
            <w:tcW w:w="1748" w:type="pct"/>
            <w:shd w:val="clear" w:color="auto" w:fill="4BACC6"/>
            <w:vAlign w:val="center"/>
          </w:tcPr>
          <w:p w14:paraId="005A6294" w14:textId="4FC16831" w:rsidR="0069412C" w:rsidRPr="0069412C" w:rsidRDefault="0069412C" w:rsidP="0069412C">
            <w:pPr>
              <w:tabs>
                <w:tab w:val="left" w:pos="24"/>
              </w:tabs>
              <w:spacing w:line="360" w:lineRule="auto"/>
              <w:rPr>
                <w:b/>
                <w:color w:val="FFFFFF"/>
                <w:sz w:val="24"/>
                <w:szCs w:val="32"/>
              </w:rPr>
            </w:pPr>
            <w:r>
              <w:rPr>
                <w:b/>
                <w:sz w:val="24"/>
                <w:szCs w:val="32"/>
              </w:rPr>
              <w:t>Scope and limitation</w:t>
            </w:r>
          </w:p>
        </w:tc>
      </w:tr>
      <w:tr w:rsidR="0069412C" w14:paraId="2376AA0D" w14:textId="77777777" w:rsidTr="00602695">
        <w:trPr>
          <w:jc w:val="center"/>
        </w:trPr>
        <w:tc>
          <w:tcPr>
            <w:tcW w:w="1505" w:type="pct"/>
            <w:shd w:val="clear" w:color="auto" w:fill="4BACC6"/>
            <w:vAlign w:val="center"/>
          </w:tcPr>
          <w:p w14:paraId="412E6594" w14:textId="0394AF77" w:rsidR="0069412C" w:rsidRPr="0069412C" w:rsidRDefault="0069412C" w:rsidP="0069412C">
            <w:pPr>
              <w:tabs>
                <w:tab w:val="left" w:pos="24"/>
              </w:tabs>
              <w:spacing w:line="360" w:lineRule="auto"/>
              <w:rPr>
                <w:b/>
                <w:color w:val="FFFFFF"/>
                <w:sz w:val="24"/>
                <w:szCs w:val="24"/>
              </w:rPr>
            </w:pPr>
            <w:r>
              <w:rPr>
                <w:sz w:val="24"/>
                <w:szCs w:val="24"/>
              </w:rPr>
              <w:t>MY-EN-CS</w:t>
            </w:r>
            <w:r>
              <w:rPr>
                <w:sz w:val="24"/>
                <w:szCs w:val="24"/>
              </w:rPr>
              <w:br/>
              <w:t>Kasmuri and Basiron (2019)</w:t>
            </w:r>
          </w:p>
        </w:tc>
        <w:tc>
          <w:tcPr>
            <w:tcW w:w="1747" w:type="pct"/>
            <w:shd w:val="clear" w:color="auto" w:fill="D8D8D8"/>
            <w:vAlign w:val="center"/>
          </w:tcPr>
          <w:p w14:paraId="2BFBC33F" w14:textId="0D767D15" w:rsidR="0069412C" w:rsidRPr="0069412C" w:rsidRDefault="0069412C" w:rsidP="0069412C">
            <w:pPr>
              <w:tabs>
                <w:tab w:val="left" w:pos="24"/>
              </w:tabs>
              <w:spacing w:line="360" w:lineRule="auto"/>
              <w:rPr>
                <w:sz w:val="24"/>
                <w:szCs w:val="24"/>
              </w:rPr>
            </w:pPr>
            <w:r>
              <w:rPr>
                <w:sz w:val="24"/>
                <w:szCs w:val="24"/>
              </w:rPr>
              <w:t>Two bilingual undergraduates; written guideline; reported kappa = 0.83.</w:t>
            </w:r>
          </w:p>
        </w:tc>
        <w:tc>
          <w:tcPr>
            <w:tcW w:w="1748" w:type="pct"/>
            <w:shd w:val="clear" w:color="auto" w:fill="D8D8D8"/>
            <w:vAlign w:val="center"/>
          </w:tcPr>
          <w:p w14:paraId="747E119D" w14:textId="66B35B24" w:rsidR="0069412C" w:rsidRPr="0069412C" w:rsidRDefault="0069412C" w:rsidP="0069412C">
            <w:pPr>
              <w:tabs>
                <w:tab w:val="left" w:pos="24"/>
              </w:tabs>
              <w:spacing w:line="360" w:lineRule="auto"/>
              <w:rPr>
                <w:sz w:val="24"/>
                <w:szCs w:val="24"/>
              </w:rPr>
            </w:pPr>
            <w:r>
              <w:rPr>
                <w:sz w:val="24"/>
                <w:szCs w:val="24"/>
              </w:rPr>
              <w:t>Opinionated versus factual judgement. Does not establish three-class polarity agreement.</w:t>
            </w:r>
          </w:p>
        </w:tc>
      </w:tr>
      <w:tr w:rsidR="0069412C" w14:paraId="32BBE585" w14:textId="77777777" w:rsidTr="00602695">
        <w:trPr>
          <w:jc w:val="center"/>
        </w:trPr>
        <w:tc>
          <w:tcPr>
            <w:tcW w:w="1505" w:type="pct"/>
            <w:shd w:val="clear" w:color="auto" w:fill="4BACC6"/>
            <w:vAlign w:val="center"/>
          </w:tcPr>
          <w:p w14:paraId="1A666B7F" w14:textId="24A491D0" w:rsidR="0069412C" w:rsidRPr="0069412C" w:rsidRDefault="0069412C" w:rsidP="0069412C">
            <w:pPr>
              <w:tabs>
                <w:tab w:val="left" w:pos="24"/>
              </w:tabs>
              <w:spacing w:line="360" w:lineRule="auto"/>
              <w:rPr>
                <w:b/>
                <w:color w:val="FFFFFF"/>
                <w:sz w:val="24"/>
                <w:szCs w:val="24"/>
              </w:rPr>
            </w:pPr>
            <w:r>
              <w:rPr>
                <w:sz w:val="24"/>
                <w:szCs w:val="24"/>
              </w:rPr>
              <w:t>SentiBahasaRojak</w:t>
            </w:r>
            <w:r>
              <w:rPr>
                <w:sz w:val="24"/>
                <w:szCs w:val="24"/>
              </w:rPr>
              <w:br/>
              <w:t>Romadhona et al. (2022)</w:t>
            </w:r>
          </w:p>
        </w:tc>
        <w:tc>
          <w:tcPr>
            <w:tcW w:w="1747" w:type="pct"/>
            <w:vAlign w:val="center"/>
          </w:tcPr>
          <w:p w14:paraId="6636B882" w14:textId="692D456F" w:rsidR="0069412C" w:rsidRPr="0069412C" w:rsidRDefault="0069412C" w:rsidP="0069412C">
            <w:pPr>
              <w:tabs>
                <w:tab w:val="left" w:pos="24"/>
              </w:tabs>
              <w:spacing w:line="360" w:lineRule="auto"/>
              <w:rPr>
                <w:sz w:val="24"/>
                <w:szCs w:val="24"/>
              </w:rPr>
            </w:pPr>
            <w:r>
              <w:rPr>
                <w:sz w:val="24"/>
                <w:szCs w:val="24"/>
              </w:rPr>
              <w:t>Five experts labelled stock posts; reported kappa = 0.77.</w:t>
            </w:r>
          </w:p>
        </w:tc>
        <w:tc>
          <w:tcPr>
            <w:tcW w:w="1748" w:type="pct"/>
            <w:vAlign w:val="center"/>
          </w:tcPr>
          <w:p w14:paraId="5C51371B" w14:textId="1BC8F6B9" w:rsidR="0069412C" w:rsidRPr="0069412C" w:rsidRDefault="0069412C" w:rsidP="0069412C">
            <w:pPr>
              <w:tabs>
                <w:tab w:val="left" w:pos="24"/>
              </w:tabs>
              <w:spacing w:line="360" w:lineRule="auto"/>
              <w:rPr>
                <w:sz w:val="24"/>
                <w:szCs w:val="24"/>
              </w:rPr>
            </w:pPr>
            <w:r>
              <w:rPr>
                <w:sz w:val="24"/>
                <w:szCs w:val="24"/>
              </w:rPr>
              <w:t>Positive versus negative stock labels; coefficient variant unspecified. Other subsets were generated automatically.</w:t>
            </w:r>
          </w:p>
        </w:tc>
      </w:tr>
      <w:tr w:rsidR="0069412C" w14:paraId="49B5EEF2" w14:textId="77777777" w:rsidTr="00602695">
        <w:trPr>
          <w:jc w:val="center"/>
        </w:trPr>
        <w:tc>
          <w:tcPr>
            <w:tcW w:w="1505" w:type="pct"/>
            <w:shd w:val="clear" w:color="auto" w:fill="4BACC6"/>
            <w:vAlign w:val="center"/>
          </w:tcPr>
          <w:p w14:paraId="6D60E991" w14:textId="754074EA" w:rsidR="0069412C" w:rsidRPr="0069412C" w:rsidRDefault="0069412C" w:rsidP="0069412C">
            <w:pPr>
              <w:tabs>
                <w:tab w:val="left" w:pos="24"/>
              </w:tabs>
              <w:spacing w:line="360" w:lineRule="auto"/>
              <w:rPr>
                <w:b/>
                <w:color w:val="FFFFFF"/>
                <w:sz w:val="24"/>
                <w:szCs w:val="24"/>
              </w:rPr>
            </w:pPr>
            <w:r>
              <w:rPr>
                <w:sz w:val="24"/>
                <w:szCs w:val="24"/>
              </w:rPr>
              <w:t>MyCovid-Senti</w:t>
            </w:r>
            <w:r>
              <w:rPr>
                <w:sz w:val="24"/>
                <w:szCs w:val="24"/>
              </w:rPr>
              <w:br/>
              <w:t>Kong et al. (2023)</w:t>
            </w:r>
          </w:p>
        </w:tc>
        <w:tc>
          <w:tcPr>
            <w:tcW w:w="1747" w:type="pct"/>
            <w:shd w:val="clear" w:color="auto" w:fill="D8D8D8"/>
            <w:vAlign w:val="center"/>
          </w:tcPr>
          <w:p w14:paraId="39ED601B" w14:textId="52C3FDE0" w:rsidR="0069412C" w:rsidRPr="0069412C" w:rsidRDefault="0069412C" w:rsidP="0069412C">
            <w:pPr>
              <w:tabs>
                <w:tab w:val="left" w:pos="24"/>
              </w:tabs>
              <w:spacing w:line="360" w:lineRule="auto"/>
              <w:rPr>
                <w:sz w:val="24"/>
                <w:szCs w:val="24"/>
              </w:rPr>
            </w:pPr>
            <w:r>
              <w:rPr>
                <w:sz w:val="24"/>
                <w:szCs w:val="24"/>
              </w:rPr>
              <w:t>Three independent annotators; written guideline.</w:t>
            </w:r>
          </w:p>
        </w:tc>
        <w:tc>
          <w:tcPr>
            <w:tcW w:w="1748" w:type="pct"/>
            <w:shd w:val="clear" w:color="auto" w:fill="D8D8D8"/>
            <w:vAlign w:val="center"/>
          </w:tcPr>
          <w:p w14:paraId="628CAC2C" w14:textId="31484D1E" w:rsidR="0069412C" w:rsidRPr="0069412C" w:rsidRDefault="0069412C" w:rsidP="0069412C">
            <w:pPr>
              <w:tabs>
                <w:tab w:val="left" w:pos="24"/>
              </w:tabs>
              <w:spacing w:line="360" w:lineRule="auto"/>
              <w:rPr>
                <w:sz w:val="24"/>
                <w:szCs w:val="24"/>
              </w:rPr>
            </w:pPr>
            <w:r>
              <w:rPr>
                <w:sz w:val="24"/>
                <w:szCs w:val="24"/>
              </w:rPr>
              <w:t>Three-class sentiment labels; no agreement coefficient reported.</w:t>
            </w:r>
          </w:p>
        </w:tc>
      </w:tr>
      <w:tr w:rsidR="0069412C" w14:paraId="4FD7FB7E" w14:textId="77777777" w:rsidTr="00602695">
        <w:trPr>
          <w:jc w:val="center"/>
        </w:trPr>
        <w:tc>
          <w:tcPr>
            <w:tcW w:w="1505" w:type="pct"/>
            <w:shd w:val="clear" w:color="auto" w:fill="4BACC6"/>
            <w:vAlign w:val="center"/>
          </w:tcPr>
          <w:p w14:paraId="639CA762" w14:textId="50306047" w:rsidR="0069412C" w:rsidRPr="0069412C" w:rsidRDefault="0069412C" w:rsidP="0069412C">
            <w:pPr>
              <w:tabs>
                <w:tab w:val="left" w:pos="24"/>
              </w:tabs>
              <w:spacing w:line="360" w:lineRule="auto"/>
              <w:rPr>
                <w:sz w:val="24"/>
                <w:szCs w:val="24"/>
              </w:rPr>
            </w:pPr>
            <w:r>
              <w:rPr>
                <w:sz w:val="24"/>
                <w:szCs w:val="24"/>
              </w:rPr>
              <w:t>MESocSentiment</w:t>
            </w:r>
            <w:r>
              <w:rPr>
                <w:sz w:val="24"/>
                <w:szCs w:val="24"/>
              </w:rPr>
              <w:br/>
              <w:t>Mohd Shamsuddin et al. (2024)</w:t>
            </w:r>
          </w:p>
        </w:tc>
        <w:tc>
          <w:tcPr>
            <w:tcW w:w="1747" w:type="pct"/>
            <w:shd w:val="clear" w:color="auto" w:fill="FFFFFF" w:themeFill="background1"/>
            <w:vAlign w:val="center"/>
          </w:tcPr>
          <w:p w14:paraId="0BCE42E8" w14:textId="71B4E3F8" w:rsidR="0069412C" w:rsidRPr="0069412C" w:rsidRDefault="0069412C" w:rsidP="0069412C">
            <w:pPr>
              <w:tabs>
                <w:tab w:val="left" w:pos="24"/>
              </w:tabs>
              <w:spacing w:line="360" w:lineRule="auto"/>
              <w:rPr>
                <w:sz w:val="24"/>
                <w:szCs w:val="24"/>
              </w:rPr>
            </w:pPr>
            <w:r>
              <w:rPr>
                <w:sz w:val="24"/>
                <w:szCs w:val="24"/>
              </w:rPr>
              <w:t>Majority vote among three automatic tools.</w:t>
            </w:r>
          </w:p>
        </w:tc>
        <w:tc>
          <w:tcPr>
            <w:tcW w:w="1748" w:type="pct"/>
            <w:shd w:val="clear" w:color="auto" w:fill="FFFFFF" w:themeFill="background1"/>
            <w:vAlign w:val="center"/>
          </w:tcPr>
          <w:p w14:paraId="02E96BC4" w14:textId="08743939" w:rsidR="0069412C" w:rsidRPr="0069412C" w:rsidRDefault="0069412C" w:rsidP="0069412C">
            <w:pPr>
              <w:tabs>
                <w:tab w:val="left" w:pos="24"/>
              </w:tabs>
              <w:spacing w:line="360" w:lineRule="auto"/>
              <w:rPr>
                <w:sz w:val="24"/>
                <w:szCs w:val="24"/>
              </w:rPr>
            </w:pPr>
            <w:r>
              <w:rPr>
                <w:sz w:val="24"/>
                <w:szCs w:val="24"/>
              </w:rPr>
              <w:t>No human inter-annotator agreement coefficient reported.</w:t>
            </w:r>
          </w:p>
        </w:tc>
      </w:tr>
    </w:tbl>
    <w:p w14:paraId="57D5E342" w14:textId="5A2053BB" w:rsidR="00224568" w:rsidRDefault="00224568" w:rsidP="00A27D4E">
      <w:pPr>
        <w:spacing w:before="120"/>
        <w:ind w:firstLine="244"/>
        <w:jc w:val="both"/>
        <w:rPr>
          <w:sz w:val="24"/>
          <w:szCs w:val="24"/>
          <w:lang w:val="en-GB"/>
        </w:rPr>
      </w:pPr>
      <w:r>
        <w:rPr>
          <w:sz w:val="24"/>
          <w:szCs w:val="24"/>
          <w:lang w:val="en-GB"/>
        </w:rPr>
        <w:t>Table 2 summarises what each study reports and what remains untested. The studies that introducing MyCovid-Senti and MESocSentiment report no agreement coefficient at all. The studies of MY-EN-CS reports kappa values = 0.83 and the studies of SentiBahasaRojak reports kappa values = 0.77, but both figures come from two-category tasks, so neither shows that annotators agree on a three-way positive, negative and neutral distinction. SentiBahasaRojak also used five annotators; Cohen's kappa in its original form is defined for two coders, and generalised versions exist for larger groups, so a study with more than two annotators should state which variant it applied. None of this shows that the four resources are unreliable. It shows that their reliability for three-class sentiment has not yet been assessed.</w:t>
      </w:r>
    </w:p>
    <w:p w14:paraId="0808BA2D"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51DB0060" w14:textId="3DC9F3A3" w:rsidR="00224568" w:rsidRDefault="00224568" w:rsidP="00224568">
      <w:pPr>
        <w:tabs>
          <w:tab w:val="left" w:pos="24"/>
        </w:tabs>
        <w:jc w:val="both"/>
        <w:rPr>
          <w:b/>
          <w:sz w:val="26"/>
          <w:szCs w:val="26"/>
        </w:rPr>
      </w:pPr>
      <w:r>
        <w:rPr>
          <w:b/>
          <w:sz w:val="26"/>
          <w:szCs w:val="26"/>
        </w:rPr>
        <w:t>6. Research Priorities</w:t>
      </w:r>
    </w:p>
    <w:p w14:paraId="7830D23F" w14:textId="5C6573BA" w:rsidR="00224568" w:rsidRDefault="00FF6B9A" w:rsidP="00224568">
      <w:pPr>
        <w:spacing w:before="120"/>
        <w:ind w:firstLine="244"/>
        <w:jc w:val="both"/>
        <w:rPr>
          <w:sz w:val="24"/>
          <w:szCs w:val="24"/>
          <w:lang w:val="en-GB"/>
        </w:rPr>
      </w:pPr>
      <w:r>
        <w:rPr>
          <w:sz w:val="24"/>
          <w:szCs w:val="24"/>
          <w:lang w:val="en-GB"/>
        </w:rPr>
        <w:t>As Table 2 shows, the reviewed studies do not always give the same attention to checking labels as they give to producing them. The following discussion explains how the linguistic, labelling, and evaluation challenges are connected and sets out four priorities for improving annotation and evaluation.</w:t>
      </w:r>
    </w:p>
    <w:p w14:paraId="59AA4D46"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75634D91" w14:textId="11AE379C"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How the challenges interact</w:t>
      </w:r>
    </w:p>
    <w:p w14:paraId="445D3984" w14:textId="04F19477" w:rsidR="00BE2CD1" w:rsidRDefault="00C853F9" w:rsidP="00224568">
      <w:pPr>
        <w:spacing w:before="120"/>
        <w:ind w:firstLine="244"/>
        <w:jc w:val="both"/>
        <w:rPr>
          <w:sz w:val="24"/>
          <w:szCs w:val="24"/>
          <w:lang w:val="en-GB"/>
        </w:rPr>
      </w:pPr>
      <w:r>
        <w:rPr>
          <w:sz w:val="24"/>
          <w:szCs w:val="24"/>
          <w:lang w:val="en-GB"/>
        </w:rPr>
        <w:t xml:space="preserve">The challenges described above are not independent. Manglish is written with non-standard spellings, and its discourse particles (short words such as lah and meh, </w:t>
      </w:r>
      <w:r>
        <w:rPr>
          <w:sz w:val="24"/>
          <w:szCs w:val="24"/>
          <w:lang w:val="en-GB"/>
        </w:rPr>
        <w:lastRenderedPageBreak/>
        <w:t>which signal the speaker's attitude) depend heavily on context. Tools trained on other languages may therefore miss these cues (Mohd Shamsuddin et al., 2024). Bilingual annotators can read them, but hiring them is expensive. Mohd Shamsuddin et al. (2024) cite this cost when choosing automatic labelling instead. However, automation inherits the same blind spots: for example, VADER relies on an English sentiment lexicon (Hutto and Gilbert, 2014). When several tools miss the same expression, majority voting does not correct the error; it confirms it. Opinionated posts are then recorded as neutral, which both loses data and skews the label distribution discussed in Section 5.</w:t>
      </w:r>
    </w:p>
    <w:p w14:paraId="31DBAF4F" w14:textId="00A495B3" w:rsidR="008F6FD8" w:rsidRDefault="008F6FD8" w:rsidP="008F6FD8">
      <w:pPr>
        <w:spacing w:before="120"/>
        <w:ind w:firstLine="244"/>
        <w:jc w:val="both"/>
        <w:rPr>
          <w:sz w:val="24"/>
          <w:szCs w:val="24"/>
          <w:lang w:val="en-GB"/>
        </w:rPr>
      </w:pPr>
      <w:r>
        <w:rPr>
          <w:sz w:val="24"/>
          <w:szCs w:val="24"/>
          <w:lang w:val="en-GB"/>
        </w:rPr>
        <w:t xml:space="preserve">This skew has two further effects. The first is on measurement. </w:t>
      </w:r>
      <w:r>
        <w:rPr>
          <w:sz w:val="24"/>
          <w:szCs w:val="24"/>
        </w:rPr>
        <w:t>When one label dominates, annotators match often even by chance</w:t>
      </w:r>
      <w:r>
        <w:rPr>
          <w:sz w:val="24"/>
          <w:szCs w:val="24"/>
          <w:lang w:val="en-GB"/>
        </w:rPr>
        <w:t>. A low kappa then can make it more difficult to interpret. It may signal genuinely poor annotation. It may also reflect nothing more than the uneven label distribution (Feinstein and Cicchetti, 1990; Byrt et al., 1993). The second effect is on modelling. Systematic label errors can cause a model to learn misleading patterns from the training data, which can reduce predictive accuracy (Frénay and Verleysen, 2014). That model may then be used to label further data, in the same way that existing sentiment analysers were used to label MESocSentiment (Mohd Shamsuddin et al., 2024). The original blind spot is reproduced at a larger scale, and the resource looks more reliable than it is.</w:t>
      </w:r>
    </w:p>
    <w:p w14:paraId="43C3C838" w14:textId="01226B18" w:rsidR="00C853F9" w:rsidRDefault="00C853F9" w:rsidP="008F6FD8">
      <w:pPr>
        <w:spacing w:before="120"/>
        <w:ind w:firstLine="244"/>
        <w:jc w:val="both"/>
        <w:rPr>
          <w:sz w:val="24"/>
          <w:szCs w:val="24"/>
          <w:lang w:val="en-GB"/>
        </w:rPr>
      </w:pPr>
      <w:r>
        <w:rPr>
          <w:sz w:val="24"/>
          <w:szCs w:val="24"/>
          <w:lang w:val="en-GB"/>
        </w:rPr>
        <w:t>Improving this process requires checks at more than one stage. The priorities below address how labels are produced, checked and retained.</w:t>
      </w:r>
    </w:p>
    <w:p w14:paraId="6003658D"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63E936FF" w14:textId="4881C29D"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0F72E025" w14:textId="1BAD99FD" w:rsidR="00913457" w:rsidRPr="00913457" w:rsidRDefault="00913457" w:rsidP="00913457">
      <w:pPr>
        <w:spacing w:before="120"/>
        <w:ind w:firstLine="244"/>
        <w:jc w:val="both"/>
        <w:rPr>
          <w:sz w:val="24"/>
          <w:szCs w:val="24"/>
          <w:lang w:val="en-GB"/>
        </w:rPr>
      </w:pPr>
      <w:r>
        <w:rPr>
          <w:sz w:val="24"/>
          <w:szCs w:val="24"/>
          <w:lang w:val="en-GB"/>
        </w:rPr>
        <w:t>A dataset can only be reused well if its production is documented. Releases should state who or what assigned the labels, whether human annotators, automatic tools, or a combination, and should include the annotation guidelines. They should also state what judgement the annotators were actually asked to make. A kappa value obtained from a two-class decision does not transfer to a three-class one, yet both appear in a release as a single number.</w:t>
      </w:r>
    </w:p>
    <w:p w14:paraId="3903531C" w14:textId="6DF95141" w:rsidR="00913457" w:rsidRPr="00913457" w:rsidRDefault="00913457" w:rsidP="00913457">
      <w:pPr>
        <w:spacing w:before="120"/>
        <w:ind w:firstLine="244"/>
        <w:jc w:val="both"/>
        <w:rPr>
          <w:sz w:val="24"/>
          <w:szCs w:val="24"/>
          <w:lang w:val="en-GB"/>
        </w:rPr>
      </w:pPr>
      <w:r>
        <w:rPr>
          <w:sz w:val="24"/>
          <w:szCs w:val="24"/>
          <w:lang w:val="en-GB"/>
        </w:rPr>
        <w:t>Releases should describe the annotators as well. Data statements offer an established format, covering the language variety, the speakers, and the annotators' backgrounds (Bender and Friedman, 2018). This allows readers to judge where a dataset applies and where it does not.</w:t>
      </w:r>
    </w:p>
    <w:p w14:paraId="07818B50" w14:textId="0C728360" w:rsidR="00450199" w:rsidRDefault="00450199" w:rsidP="00913457">
      <w:pPr>
        <w:spacing w:before="120"/>
        <w:ind w:firstLine="244"/>
        <w:jc w:val="both"/>
        <w:rPr>
          <w:sz w:val="24"/>
          <w:szCs w:val="24"/>
          <w:lang w:val="en-GB"/>
        </w:rPr>
      </w:pPr>
      <w:r>
        <w:rPr>
          <w:sz w:val="24"/>
          <w:szCs w:val="24"/>
          <w:lang w:val="en-GB"/>
        </w:rPr>
        <w:t>Two further items deserve attention. The first is the class distribution, reported together with agreement for each class, so that a single coefficient does not hide weak agreement on the smaller classes. The second is the individual annotations themselves. Retaining each annotator's labels, along with any discarded items, allows later studies to examine where annotators differed rather than relying only on the majority label (Mostafazadeh Davani et al., 2022). The 512 posts removed from MESocSentiment are an example of what is lost when only final labels are kept.</w:t>
      </w:r>
    </w:p>
    <w:p w14:paraId="3D79E221"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50B93C6F" w14:textId="44116F0E"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15B13410" w14:textId="4601E54A" w:rsidR="009B6BCD" w:rsidRDefault="009B6BCD" w:rsidP="00913457">
      <w:pPr>
        <w:spacing w:before="120"/>
        <w:ind w:firstLine="244"/>
        <w:jc w:val="both"/>
        <w:rPr>
          <w:sz w:val="24"/>
          <w:szCs w:val="24"/>
          <w:lang w:val="en-GB"/>
        </w:rPr>
      </w:pPr>
      <w:r>
        <w:rPr>
          <w:sz w:val="24"/>
          <w:szCs w:val="24"/>
          <w:lang w:val="en-GB"/>
        </w:rPr>
        <w:t xml:space="preserve">Future studies should examine how agreement results shift as the proportions of positive, negative and neutral labels change. Byrt et al. (1993) show that a single </w:t>
      </w:r>
      <w:r>
        <w:rPr>
          <w:sz w:val="24"/>
          <w:szCs w:val="24"/>
          <w:lang w:val="en-GB"/>
        </w:rPr>
        <w:lastRenderedPageBreak/>
        <w:t>kappa value is hard to compare across studies, and recommend reporting separate indices for bias and prevalence alongside it. Di Eugenio and Glass (2004) carry this into annotation work, suggesting that kappa value be reported together with a prevalence-adjusted figure. Both proposals were developed for two raters and two categories, so their extension to three-class sentiment has not been examined in the studies reviewed here. Working this out on Manglish data would show whether a low kappa signals weak annotation or only the dominance of the neutral class.</w:t>
      </w:r>
    </w:p>
    <w:p w14:paraId="7DE27EAE"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50EF13F7" w14:textId="2BF91858"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guidance for particles and ambiguity</w:t>
      </w:r>
    </w:p>
    <w:p w14:paraId="45DA8795" w14:textId="450F96CB" w:rsidR="009B6BCD" w:rsidRPr="009B6BCD" w:rsidRDefault="009B6BCD" w:rsidP="009B6BCD">
      <w:pPr>
        <w:spacing w:before="120"/>
        <w:ind w:firstLine="244"/>
        <w:jc w:val="both"/>
        <w:rPr>
          <w:sz w:val="24"/>
          <w:szCs w:val="24"/>
          <w:lang w:val="en-GB"/>
        </w:rPr>
      </w:pPr>
      <w:r>
        <w:rPr>
          <w:sz w:val="24"/>
          <w:szCs w:val="24"/>
          <w:lang w:val="en-GB"/>
        </w:rPr>
        <w:t>Guidelines are where the language problems from Section 6.1 can be addressed directly. They should include worked examples showing how the same particle shifts meaning with context, since lah and kan carry attitude that no lexicon entry can capture. Mohammad (2016) offers a useful starting structure, separating the speaker, the target of the opinion, and the attitude expressed, and Kong et al. (2023) adapted this structure for Malaysian tweets. Guidelines for Manglish could extend it with local particle examples.</w:t>
      </w:r>
    </w:p>
    <w:p w14:paraId="083C3819" w14:textId="2EEFB0C5" w:rsidR="009B6BCD" w:rsidRDefault="009B6BCD" w:rsidP="009B6BCD">
      <w:pPr>
        <w:spacing w:before="120"/>
        <w:ind w:firstLine="244"/>
        <w:jc w:val="both"/>
        <w:rPr>
          <w:sz w:val="24"/>
          <w:szCs w:val="24"/>
          <w:lang w:val="en-GB"/>
        </w:rPr>
      </w:pPr>
      <w:r>
        <w:rPr>
          <w:sz w:val="24"/>
          <w:szCs w:val="24"/>
          <w:lang w:val="en-GB"/>
        </w:rPr>
        <w:t xml:space="preserve">Guidelines should also say what to do when an item stays unclear. Forcing a choice between positive, negative and neutral turns genuine ambiguity into </w:t>
      </w:r>
      <w:r>
        <w:rPr>
          <w:sz w:val="24"/>
          <w:szCs w:val="24"/>
          <w:lang w:val="en-GB"/>
        </w:rPr>
        <w:t>a single label, which may then be treated as annotator error (Plank, 2022).</w:t>
      </w:r>
      <w:r>
        <w:rPr>
          <w:sz w:val="24"/>
          <w:szCs w:val="24"/>
          <w:lang w:val="en-GB"/>
        </w:rPr>
        <w:t xml:space="preserve"> Allowing annotators to flag such cases separates disagreement caused by vague instructions, which guidelines can fix, from disagreement caused by the text itself, which they cannot.</w:t>
      </w:r>
    </w:p>
    <w:p w14:paraId="1AA30149"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19EB8C78" w14:textId="7C78A48B"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Test whether annotators share errors</w:t>
      </w:r>
    </w:p>
    <w:p w14:paraId="5CD23279" w14:textId="3C5D43A4" w:rsidR="009B6BCD" w:rsidRPr="009B6BCD" w:rsidRDefault="009B6BCD" w:rsidP="009B6BCD">
      <w:pPr>
        <w:spacing w:before="120"/>
        <w:ind w:firstLine="244"/>
        <w:jc w:val="both"/>
        <w:rPr>
          <w:sz w:val="24"/>
          <w:szCs w:val="24"/>
          <w:lang w:val="en-GB"/>
        </w:rPr>
      </w:pPr>
      <w:r>
        <w:rPr>
          <w:sz w:val="24"/>
          <w:szCs w:val="24"/>
          <w:lang w:val="en-GB"/>
        </w:rPr>
        <w:t xml:space="preserve">Section 5 noted that annotators may agree because they share a mistake, and Section 6.1 described one way by which this happens. Neither agreement coefficients nor majority voting can detect </w:t>
      </w:r>
      <w:r>
        <w:rPr>
          <w:sz w:val="24"/>
          <w:szCs w:val="24"/>
          <w:lang w:val="en-GB"/>
        </w:rPr>
        <w:t>it (Artstein and Poesio, 2008; Hovy et al., 2013),</w:t>
      </w:r>
      <w:r>
        <w:rPr>
          <w:sz w:val="24"/>
          <w:szCs w:val="24"/>
          <w:lang w:val="en-GB"/>
        </w:rPr>
        <w:t xml:space="preserve"> so it needs a separate test.</w:t>
      </w:r>
    </w:p>
    <w:p w14:paraId="6EDDDB0B" w14:textId="4BF38EDC" w:rsidR="009B6BCD" w:rsidRPr="009B6BCD" w:rsidRDefault="009B6BCD" w:rsidP="009B6BCD">
      <w:pPr>
        <w:spacing w:before="120"/>
        <w:ind w:firstLine="244"/>
        <w:jc w:val="both"/>
        <w:rPr>
          <w:sz w:val="24"/>
          <w:szCs w:val="24"/>
          <w:lang w:val="en-GB"/>
        </w:rPr>
      </w:pPr>
      <w:r>
        <w:rPr>
          <w:sz w:val="24"/>
          <w:szCs w:val="24"/>
          <w:lang w:val="en-GB"/>
        </w:rPr>
        <w:t>One design would give the same Manglish sample to bilingual annotators, to existing sentiment tools, and to generative models. A second group of bilingual reviewers would then assign reference labels independently and write short explanations for the cases where the first group disagreed or agreed on a doubtful reading. Weber and Plank (2023) show that adding human corrections to automatic error detection will help in finding annotation errors more accurately than automatic detection alone. Weber-Genzel et al. (2024) use explanations and later validity judgements in this way for English textual inference, separating genuine errors from reasonable variation, and the same design could be tested here.</w:t>
      </w:r>
    </w:p>
    <w:p w14:paraId="0F9F122F" w14:textId="50292649" w:rsidR="009B6BCD" w:rsidRDefault="009B6BCD" w:rsidP="009B6BCD">
      <w:pPr>
        <w:spacing w:before="120"/>
        <w:ind w:firstLine="244"/>
        <w:jc w:val="both"/>
        <w:rPr>
          <w:sz w:val="24"/>
          <w:szCs w:val="24"/>
          <w:lang w:val="en-GB"/>
        </w:rPr>
      </w:pPr>
      <w:r>
        <w:rPr>
          <w:sz w:val="24"/>
          <w:szCs w:val="24"/>
          <w:lang w:val="en-GB"/>
        </w:rPr>
        <w:t>The outcome would show whether majority voting corrects errors or preserves the ones the annotators hold in common. This matters most where humans and automatic tools miss the same Manglish cue, since that is exactly the case a majority vote cannot catch.</w:t>
      </w:r>
    </w:p>
    <w:p w14:paraId="57BC76F2"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5D1A850F" w14:textId="4321D88F"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1B176D9A" w14:textId="51E4ECE6" w:rsidR="00FA2968" w:rsidRPr="00FA2968" w:rsidRDefault="00FA2968" w:rsidP="00FA2968">
      <w:pPr>
        <w:spacing w:before="120"/>
        <w:ind w:firstLine="244"/>
        <w:jc w:val="both"/>
        <w:rPr>
          <w:sz w:val="24"/>
          <w:szCs w:val="24"/>
          <w:lang w:val="en-GB"/>
        </w:rPr>
      </w:pPr>
      <w:r>
        <w:rPr>
          <w:sz w:val="24"/>
          <w:szCs w:val="24"/>
          <w:lang w:val="en-GB"/>
        </w:rPr>
        <w:t xml:space="preserve">The four resources reviewed here provide useful Malay-English data, but the evidence supporting their label quality remains incomplete. Some of the studies </w:t>
      </w:r>
      <w:r>
        <w:rPr>
          <w:sz w:val="24"/>
          <w:szCs w:val="24"/>
          <w:lang w:val="en-GB"/>
        </w:rPr>
        <w:lastRenderedPageBreak/>
        <w:t>report no agreement coefficient, while others report one for a different task or for only part of the dataset. Examples published with MESocSentiment suggest that automatic tools can assign a neutral label to positive Malay expressions. This does not establish an overall error rate, but it shows why further validation is needed.</w:t>
      </w:r>
    </w:p>
    <w:p w14:paraId="69895FC6" w14:textId="503624A2" w:rsidR="00FA2968" w:rsidRPr="009B6BCD" w:rsidRDefault="00AF7411" w:rsidP="00FA2968">
      <w:pPr>
        <w:spacing w:before="120"/>
        <w:ind w:firstLine="244"/>
        <w:jc w:val="both"/>
        <w:rPr>
          <w:sz w:val="24"/>
          <w:szCs w:val="24"/>
          <w:lang w:val="en-GB"/>
        </w:rPr>
      </w:pPr>
      <w:r>
        <w:rPr>
          <w:sz w:val="24"/>
          <w:szCs w:val="24"/>
          <w:lang w:val="en-GB"/>
        </w:rPr>
        <w:t>Four steps would strengthen the evidence. Future work should document how labels were produced and retain each annotator's labels, evaluate agreement under class imbalance, develop guidance for particles and ambiguous cases, and test whether annotators and tools share the same errors. Without these checks, a dataset can look reliable while carrying errors that pass into the models trained on it, and from those models into the data they label next.</w:t>
      </w:r>
    </w:p>
    <w:p w14:paraId="2CA8ECB8" w14:textId="77777777" w:rsidR="00C9277E" w:rsidRDefault="00C9277E" w:rsidP="00C9277E"/>
    <w:p w14:paraId="0A2EBDDF" w14:textId="59BC6CDB" w:rsidR="00286811" w:rsidRPr="00286811" w:rsidRDefault="00286811" w:rsidP="00286811">
      <w:pPr>
        <w:pStyle w:val="Heading1"/>
        <w:jc w:val="left"/>
        <w:rPr>
          <w:sz w:val="24"/>
          <w:szCs w:val="18"/>
        </w:rPr>
      </w:pPr>
      <w:r>
        <w:rPr>
          <w:sz w:val="24"/>
          <w:szCs w:val="18"/>
        </w:rPr>
        <w:t>References</w:t>
      </w:r>
    </w:p>
    <w:p w14:paraId="3E36C012" w14:textId="77777777" w:rsidR="00286811" w:rsidRDefault="00286811" w:rsidP="00286811">
      <w:pPr>
        <w:spacing w:after="100"/>
        <w:ind w:left="360" w:hanging="360"/>
      </w:pPr>
      <w:r>
        <w:t>Abu Bakar, M. F. R., Idris, N., Shuib, L., and Khamis, N. (2020). Sentiment analysis of noisy Malay text: State of art, challenges and future work. IEEE Access, 8, 24687–24696. https://doi.org/10.1109/ACCESS.2020.2968955</w:t>
      </w:r>
    </w:p>
    <w:p w14:paraId="557344E2" w14:textId="09A54357" w:rsidR="00286811" w:rsidRPr="00C57716" w:rsidRDefault="00286811" w:rsidP="00286811">
      <w:pPr>
        <w:spacing w:after="100"/>
        <w:ind w:left="360" w:hanging="360"/>
        <w:rPr>
          <w:b/>
          <w:bCs/>
        </w:rPr>
      </w:pPr>
      <w:r>
        <w:t>Adilazuarda, M. F., Cahyawijaya, S., Winata, G. I., Fung, P., and Purwarianti, A. (2022). IndoRobusta: Towards robustness against diverse code-mixed Indonesian local languages. Proceedings of the First Workshop on Scaling Up Multilingual Evaluation (SUMEval), 25–34. 10.18653/v1/2022.sumeval-1.5</w:t>
      </w:r>
    </w:p>
    <w:p w14:paraId="422683D8" w14:textId="3D2B351C" w:rsidR="00286811" w:rsidRDefault="00286811" w:rsidP="00286811">
      <w:pPr>
        <w:spacing w:after="100"/>
        <w:ind w:left="360" w:hanging="360"/>
      </w:pPr>
      <w:r>
        <w:t>AlAfnan, M. A., MohdZuki, S. F., and AlAfnan, S. M. (2025). Blending identities: Exploring the linguistic, cultural, and pragmatic dimensions of Manglish in the Malaysian society. Studies in Media and Communication, 13(3), 15-23. https://doi.org/10.11114/smc.v13i3.7654</w:t>
      </w:r>
    </w:p>
    <w:p w14:paraId="5A9CC4F7" w14:textId="77777777" w:rsidR="00286811" w:rsidRDefault="00286811" w:rsidP="00286811">
      <w:pPr>
        <w:spacing w:after="100"/>
        <w:ind w:left="360" w:hanging="360"/>
      </w:pPr>
      <w:r>
        <w:t>Artstein, R., and Poesio, M. (2008). Survey article: Inter-coder agreement for computational linguistics. Computational Linguistics, 34(4), 555–596. https://doi.org/10.1162/coli.07-034-R2</w:t>
      </w:r>
    </w:p>
    <w:p w14:paraId="4B3D2D38" w14:textId="77777777" w:rsidR="00286811" w:rsidRDefault="00286811" w:rsidP="00286811">
      <w:pPr>
        <w:spacing w:after="100"/>
        <w:ind w:left="360" w:hanging="360"/>
      </w:pPr>
      <w:r>
        <w:t>Bender, E. M., and Friedman, B. (2018). Data statements for natural language processing: Toward mitigating system bias and enabling better science. Transactions of the Association for Computational Linguistics, 6, 587–604. https://doi.org/10.1162/tacl_a_00041</w:t>
      </w:r>
    </w:p>
    <w:p w14:paraId="04FC8FFE" w14:textId="77777777" w:rsidR="00286811" w:rsidRDefault="00286811" w:rsidP="00286811">
      <w:pPr>
        <w:spacing w:after="100"/>
        <w:ind w:left="360" w:hanging="360"/>
      </w:pPr>
      <w: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682CC429" w14:textId="77777777" w:rsidR="00286811" w:rsidRDefault="00286811" w:rsidP="00286811">
      <w:pPr>
        <w:spacing w:after="100"/>
        <w:ind w:left="360" w:hanging="360"/>
      </w:pPr>
      <w:r>
        <w:t>Byrt, T., Bishop, J., and Carlin, J. B. (1993). Bias, prevalence and kappa. Journal of Clinical Epidemiology, 46(5), 423–429. https://doi.org/10.1016/0895-4356(93)90018-V</w:t>
      </w:r>
    </w:p>
    <w:p w14:paraId="186E3E46" w14:textId="77777777" w:rsidR="00286811" w:rsidRDefault="00286811" w:rsidP="00286811">
      <w:pPr>
        <w:spacing w:after="100"/>
        <w:ind w:left="360" w:hanging="360"/>
      </w:pPr>
      <w:r>
        <w:t>Cohen, J. (1960). A coefficient of agreement for nominal scales. Educational and Psychological Measurement, 20(1), 37–46. https://doi.org/10.1177/001316446002000104</w:t>
      </w:r>
    </w:p>
    <w:p w14:paraId="5857D40D" w14:textId="77777777" w:rsidR="00286811" w:rsidRDefault="00286811" w:rsidP="00286811">
      <w:pPr>
        <w:spacing w:after="100"/>
        <w:ind w:left="360" w:hanging="360"/>
      </w:pPr>
      <w: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3C6EE1A5" w14:textId="77777777" w:rsidR="00286811" w:rsidRDefault="00286811" w:rsidP="00286811">
      <w:pPr>
        <w:spacing w:after="100"/>
        <w:ind w:left="360" w:hanging="360"/>
      </w:pPr>
      <w: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04D35881" w14:textId="77777777" w:rsidR="00286811" w:rsidRDefault="00286811" w:rsidP="00286811">
      <w:pPr>
        <w:spacing w:after="100"/>
        <w:ind w:left="360" w:hanging="360"/>
      </w:pPr>
      <w:r>
        <w:t>Di Eugenio, B., and Glass, M. (2004). The kappa statistic: A second look. Computational Linguistics, 30(1), 95–101. https://doi.org/10.1162/089120104773633402</w:t>
      </w:r>
    </w:p>
    <w:p w14:paraId="3AF6ED02" w14:textId="77777777" w:rsidR="00286811" w:rsidRDefault="00286811" w:rsidP="00286811">
      <w:pPr>
        <w:spacing w:after="100"/>
        <w:ind w:left="360" w:hanging="360"/>
      </w:pPr>
      <w:r>
        <w:t xml:space="preserve">Doğruöz, A. S., Sitaram, S., Bullock, B. E., and Toribio, A. J. (2021). A survey of code-switching: Linguistic and social perspectives for language technologies. Proceedings of the 59th Annual Meeting of the Association for Computational Linguistics and the 11th International Joint </w:t>
      </w:r>
      <w:r>
        <w:lastRenderedPageBreak/>
        <w:t>Conference on Natural Language Processing (Volume 1: Long Papers), 1654–1666. https://doi.org/10.18653/v1/2021.acl-long.131</w:t>
      </w:r>
    </w:p>
    <w:p w14:paraId="2DEF3CA5" w14:textId="77777777" w:rsidR="00286811" w:rsidRDefault="00286811" w:rsidP="00286811">
      <w:pPr>
        <w:spacing w:after="100"/>
        <w:ind w:left="360" w:hanging="360"/>
      </w:pPr>
      <w:r>
        <w:t>Feinstein, A. R., and Cicchetti, D. V. (1990). High agreement but low kappa: I. The problems of two paradoxes. Journal of Clinical Epidemiology, 43(6), 543–549. https://doi.org/10.1016/0895-4356(90)90158-L</w:t>
      </w:r>
    </w:p>
    <w:p w14:paraId="4DF65464" w14:textId="77777777" w:rsidR="00286811" w:rsidRDefault="00286811" w:rsidP="00286811">
      <w:pPr>
        <w:spacing w:after="100"/>
        <w:ind w:left="360" w:hanging="360"/>
      </w:pPr>
      <w:r>
        <w:t>Frénay, B., and Verleysen, M. (2014). Classification in the presence of label noise: A survey. IEEE Transactions on Neural Networks and Learning Systems, 25(5), 845–869. https://doi.org/10.1109/TNNLS.2013.2292894</w:t>
      </w:r>
    </w:p>
    <w:p w14:paraId="7E1060FB" w14:textId="77777777" w:rsidR="00286811" w:rsidRDefault="00286811" w:rsidP="00286811">
      <w:pPr>
        <w:spacing w:after="100"/>
        <w:ind w:left="360" w:hanging="360"/>
      </w:pPr>
      <w: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55658986" w14:textId="43AA9101" w:rsidR="00286811" w:rsidRDefault="00286811" w:rsidP="00286811">
      <w:pPr>
        <w:spacing w:after="100"/>
        <w:ind w:left="360" w:hanging="360"/>
      </w:pPr>
      <w:r>
        <w:t>Hutto, C. J., and Gilbert, E. (2014). VADER: A parsimonious rule-based model for sentiment analysis of social media text. Proceedings of the International AAAI Conference on Web and Social Media, 8(1), 216–225. https://doi.org/10.1609/icwsm.v8i1.14550</w:t>
      </w:r>
    </w:p>
    <w:p w14:paraId="3359BBC3" w14:textId="77777777" w:rsidR="00286811" w:rsidRDefault="00286811" w:rsidP="00286811">
      <w:pPr>
        <w:spacing w:after="100"/>
        <w:ind w:left="360" w:hanging="360"/>
      </w:pPr>
      <w:r>
        <w:t>Jadhav, S., Shanbhag, A., Thakurdesai, A., Sinare, R., and Joshi, R. (2025). On limitations of LLM as annotator for low resource languages. Proceedings of the 8th International Conference on Natural Language and Speech Processing (ICNLSP-2025), 277–282.</w:t>
      </w:r>
    </w:p>
    <w:p w14:paraId="1484F8C4" w14:textId="77777777" w:rsidR="00286811" w:rsidRDefault="00286811" w:rsidP="00286811">
      <w:pPr>
        <w:spacing w:after="100"/>
        <w:ind w:left="360" w:hanging="360"/>
      </w:pPr>
      <w: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4C483146" w14:textId="77777777" w:rsidR="00286811" w:rsidRDefault="00286811" w:rsidP="00286811">
      <w:pPr>
        <w:spacing w:after="100"/>
        <w:ind w:left="360" w:hanging="360"/>
      </w:pPr>
      <w:r>
        <w:t>Kasmuri, E., and Basiron, H. (2019). Building a Malay-English code-switching subjectivity corpus for sentiment analysis. International Journal of Advanced Soft Computing and Its Applications, 11(1), 112–130.</w:t>
      </w:r>
    </w:p>
    <w:p w14:paraId="08971B81" w14:textId="77777777" w:rsidR="00286811" w:rsidRDefault="00286811" w:rsidP="00286811">
      <w:pPr>
        <w:spacing w:after="100"/>
        <w:ind w:left="360" w:hanging="360"/>
      </w:pPr>
      <w:r>
        <w:t>Khanuja, S., Dandapat, S., Srinivasan, A., Sitaram, S., and Choudhury, M. (2020). GLUECoS: An evaluation benchmark for code-switched NLP. Proceedings of the 58th Annual Meeting of the Association for Computational Linguistics, 3575–3585. https://doi.org/10.18653/v1/2020.acl-main.329</w:t>
      </w:r>
    </w:p>
    <w:p w14:paraId="2806EBDF" w14:textId="77777777" w:rsidR="00286811" w:rsidRDefault="00286811" w:rsidP="00286811">
      <w:pPr>
        <w:spacing w:after="100"/>
        <w:ind w:left="360" w:hanging="360"/>
      </w:pPr>
      <w:r>
        <w:t>Kong, J. T. H., Juwono, F. H., Ngu, I. Y., Nugraha, I. G. D., Maraden, Y., and Wong, W. K. (2023). A mixed Malay-English language COVID-19 Twitter dataset: A sentiment analysis. Big Data and Cognitive Computing, 7(2), 61. https://doi.org/10.3390/bdcc7020061</w:t>
      </w:r>
    </w:p>
    <w:p w14:paraId="2C9392D8" w14:textId="11E1085E" w:rsidR="00286811" w:rsidRDefault="00286811" w:rsidP="00286811">
      <w:pPr>
        <w:spacing w:after="100"/>
        <w:ind w:left="360" w:hanging="360"/>
      </w:pPr>
      <w:r>
        <w:t>Maskat, R., and Rahman, N. A. (2020). Categorization of Malay social media text and normalization of spelling variations and vowel-less words. International Journal on Advanced Science, Engineering and Information Technology, 10(4), 1380–1386. 10.18517/ijaseit.10.4.10237</w:t>
      </w:r>
    </w:p>
    <w:p w14:paraId="3475313A" w14:textId="77777777" w:rsidR="00286811" w:rsidRDefault="00286811" w:rsidP="00286811">
      <w:pPr>
        <w:spacing w:after="100"/>
        <w:ind w:left="360" w:hanging="360"/>
      </w:pPr>
      <w:r>
        <w:t>Mohammad, S. M. (2016). A practical guide to sentiment annotation: Challenges and solutions. Proceedings of the 7th Workshop on Computational Approaches to Subjectivity, Sentiment and Social Media Analysis (WASSA), 174–179. https://doi.org/10.18653/v1/W16-0429</w:t>
      </w:r>
    </w:p>
    <w:p w14:paraId="0EEE3FDC" w14:textId="77777777" w:rsidR="00286811" w:rsidRDefault="00286811" w:rsidP="00286811">
      <w:pPr>
        <w:spacing w:after="100"/>
        <w:ind w:left="360" w:hanging="360"/>
      </w:pPr>
      <w:r>
        <w:t>Mohd Shamsuddin, A. M., Samson Juan, S., Chua, S., and Bramantoro, A. (2024). Semi-automatic sentiment identification for Malay-English code-switched data. Journal of Advanced Research Design, 123(1), 198–212. https://doi.org/10.37934/ard.123.1.198212</w:t>
      </w:r>
    </w:p>
    <w:p w14:paraId="6514A0D4" w14:textId="77777777" w:rsidR="00286811" w:rsidRDefault="00286811" w:rsidP="00286811">
      <w:pPr>
        <w:spacing w:after="100"/>
        <w:ind w:left="360" w:hanging="360"/>
      </w:pPr>
      <w:r>
        <w:t>Mostafazadeh Davani, A., Díaz, M., and Prabhakaran, V. (2022). Dealing with disagreements: Looking beyond the majority vote in subjective annotations. Transactions of the Association for Computational Linguistics, 10, 92–110. https://doi.org/10.1162/tacl_a_00449</w:t>
      </w:r>
    </w:p>
    <w:p w14:paraId="636AD0E9" w14:textId="77777777" w:rsidR="00286811" w:rsidRDefault="00286811" w:rsidP="00286811">
      <w:pPr>
        <w:spacing w:after="100"/>
        <w:ind w:left="360" w:hanging="360"/>
      </w:pPr>
      <w:r>
        <w:t>Nazir, A., Rao, Y., Wu, L., and Sun, L. (2022). Issues and challenges of aspect-based sentiment analysis: A comprehensive survey. IEEE Transactions on Affective Computing, 13(2), 845–863. https://doi.org/10.1109/TAFFC.2020.2970399</w:t>
      </w:r>
    </w:p>
    <w:p w14:paraId="13DD6A11" w14:textId="77777777" w:rsidR="00286811" w:rsidRDefault="00286811" w:rsidP="00286811">
      <w:pPr>
        <w:spacing w:after="100"/>
        <w:ind w:left="360" w:hanging="360"/>
      </w:pPr>
      <w:r>
        <w:t>Northcutt, C. G., Athalye, A., and Mueller, J. (2021). Pervasive label errors in test sets destabilize machine learning benchmarks. Proceedings of the 35th Conference on Neural Information Processing Systems (NeurIPS): Datasets and Benchmarks Track.</w:t>
      </w:r>
    </w:p>
    <w:p w14:paraId="303AC579" w14:textId="7A84F914" w:rsidR="00286811" w:rsidRPr="00E83DFF" w:rsidRDefault="00286811" w:rsidP="00286811">
      <w:pPr>
        <w:spacing w:after="100"/>
        <w:ind w:left="360" w:hanging="360"/>
      </w:pPr>
      <w:r>
        <w:lastRenderedPageBreak/>
        <w:t xml:space="preserve">Pavlick, E., and Kwiatkowski, T. (2019). Inherent disagreements in human textual inferences. Transactions of the Association for Computational Linguistics, 7, 677–694. </w:t>
      </w:r>
      <w:hyperlink r:id="rId8" w:history="1">
        <w:r>
          <w:rPr>
            <w:rStyle w:val="Hyperlink"/>
            <w:color w:val="auto"/>
            <w:u w:val="none"/>
          </w:rPr>
          <w:t>https://doi.org/10.1162/tacl_a_00293</w:t>
        </w:r>
      </w:hyperlink>
    </w:p>
    <w:p w14:paraId="59B68EBE" w14:textId="7C6ADF2C" w:rsidR="00286811" w:rsidRDefault="00286811" w:rsidP="00286811">
      <w:pPr>
        <w:spacing w:after="100"/>
        <w:ind w:left="360" w:hanging="360"/>
      </w:pPr>
      <w:r>
        <w:t>Plank, B. (2022). The “Problem” of human label variation: On ground truth in data, modeling and evaluation. Proceedings of the 2022 Conference on Empirical Methods in Natural Language Processing, 10671–10682. https://doi.org/10.18653/v1/2022.emnlp-main.731</w:t>
      </w:r>
    </w:p>
    <w:p w14:paraId="4B8EFC6B" w14:textId="77777777" w:rsidR="00286811" w:rsidRDefault="00286811" w:rsidP="00286811">
      <w:pPr>
        <w:spacing w:after="100"/>
        <w:ind w:left="360" w:hanging="360"/>
      </w:pPr>
      <w:r>
        <w:t>Poria, S., Hazarika, D., Majumder, N., and Mihalcea, R. (2023). Beneath the tip of the iceberg: Current challenges and new directions in sentiment analysis research. IEEE Transactions on Affective Computing, 14(1), 108–132. https://doi.org/10.1109/TAFFC.2020.3038167</w:t>
      </w:r>
    </w:p>
    <w:p w14:paraId="47767634" w14:textId="77777777" w:rsidR="00286811" w:rsidRDefault="00286811" w:rsidP="00286811">
      <w:pPr>
        <w:spacing w:after="100"/>
        <w:ind w:left="360" w:hanging="360"/>
      </w:pPr>
      <w:r>
        <w:t>Romadhona, N. P., Lu, S.-E., Lu, B.-H., and Tsai, R. T.-H. (2022). BRCC and SentiBahasaRojak: The first Bahasa Rojak corpus for pretraining and sentiment analysis dataset. Proceedings of the 29th International Conference on Computational Linguistics (COLING), 4418–4428.</w:t>
      </w:r>
    </w:p>
    <w:p w14:paraId="26A180DC" w14:textId="77777777" w:rsidR="00286811" w:rsidRDefault="00286811" w:rsidP="00286811">
      <w:pPr>
        <w:spacing w:after="100"/>
        <w:ind w:left="360" w:hanging="360"/>
      </w:pPr>
      <w:r>
        <w:t>Selvaraju, S., Sjarif, N. N. A., and Anuar, M. S. M. (2024). Sentiment analysis in code mixing Malay text: A review. 2024 5th International Conference on Artificial Intelligence and Data Sciences (AiDAS), 280–285. https://doi.org/10.1109/AiDAS63860.2024.10730298</w:t>
      </w:r>
    </w:p>
    <w:p w14:paraId="1CD934D7" w14:textId="77777777" w:rsidR="00286811" w:rsidRDefault="00286811" w:rsidP="00286811">
      <w:pPr>
        <w:spacing w:after="100"/>
        <w:ind w:left="360" w:hanging="360"/>
      </w:pPr>
      <w:r>
        <w:t>Treffers-Daller, J., Majid, S., Thai, Y. N., and Flynn, N. (2022). Explaining the diversity in Malay-English code-switching patterns: The contribution of typological similarity and bilingual optimization strategies. Languages, 7(4), 299. https://doi.org/10.3390/languages7040299</w:t>
      </w:r>
    </w:p>
    <w:p w14:paraId="53CCE96E" w14:textId="77777777" w:rsidR="00286811" w:rsidRDefault="00286811" w:rsidP="00286811">
      <w:pPr>
        <w:spacing w:after="100"/>
        <w:ind w:left="360" w:hanging="360"/>
      </w:pPr>
      <w:r>
        <w:t>Uma, A. N., Fornaciari, T., Hovy, D., Paun, S., Plank, B., and Poesio, M. (2021). Learning from disagreement: A survey. Journal of Artificial Intelligence Research, 72, 1385–1470. https://doi.org/10.1613/jair.1.12752</w:t>
      </w:r>
    </w:p>
    <w:p w14:paraId="77240C2E" w14:textId="77777777" w:rsidR="00286811" w:rsidRDefault="00286811" w:rsidP="00286811">
      <w:pPr>
        <w:spacing w:after="100"/>
        <w:ind w:left="360" w:hanging="360"/>
      </w:pPr>
      <w:r>
        <w:t>Weber, L., and Plank, B. (2023). ActiveAED: A human in the loop improves annotation error detection. Findings of the Association for Computational Linguistics: ACL 2023, 8834–8845. https://doi.org/10.18653/v1/2023.findings-acl.562</w:t>
      </w:r>
    </w:p>
    <w:p w14:paraId="3CF43E24" w14:textId="77777777" w:rsidR="00286811" w:rsidRDefault="00286811" w:rsidP="00286811">
      <w:pPr>
        <w:spacing w:after="100"/>
        <w:ind w:left="360" w:hanging="360"/>
      </w:pPr>
      <w:r>
        <w:t>Weber-Genzel, L., Peng, S., de Marneffe, M.-C., and Plank, B. (2024). VariErr NLI: Separating annotation error from human label variation. Proceedings of the 62nd Annual Meeting of the Association for Computational Linguistics (Volume 1: Long Papers), 2256–2269. https://doi.org/10.18653/v1/2024.acl-long.123</w:t>
      </w:r>
    </w:p>
    <w:p w14:paraId="0100C79E" w14:textId="77777777" w:rsidR="00286811" w:rsidRDefault="00286811" w:rsidP="00286811">
      <w:pPr>
        <w:spacing w:after="100"/>
        <w:ind w:left="360" w:hanging="360"/>
      </w:pPr>
      <w: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12D173F6" w14:textId="5CC3D9C0" w:rsidR="007C2D5D" w:rsidRPr="00C9277E" w:rsidRDefault="00286811" w:rsidP="00450199">
      <w:pPr>
        <w:spacing w:after="100"/>
        <w:ind w:left="360" w:hanging="360"/>
      </w:pPr>
      <w:r>
        <w:t xml:space="preserve">Winata, G. I., Cahyawijaya, S., Liu, Z., Lin, Z., Madotto, A., and Fung, P. (2021). Are multilingual models effective in code-switching? Proceedings of the Fifth Workshop on Computational Approaches to Linguistic Code-Switching, 142–153. </w:t>
      </w:r>
      <w:hyperlink r:id="rId9" w:history="1">
        <w:r>
          <w:rPr>
            <w:rStyle w:val="Hyperlink"/>
            <w:color w:val="auto"/>
            <w:u w:val="none"/>
          </w:rPr>
          <w:t>https://doi.org/10.18653/v1/2021.calcs-1.20</w:t>
        </w:r>
      </w:hyperlink>
    </w:p>
    <w:p w14:paraId="44C38153" w14:textId="77777777" w:rsidR="00A760EC" w:rsidRDefault="00A760EC" w:rsidP="00450199">
      <w:pPr>
        <w:spacing w:after="100"/>
        <w:ind w:left="360" w:hanging="360"/>
      </w:pPr>
    </w:p>
    <w:p w14:paraId="7DC7B4A4" w14:textId="4EECE374" w:rsidR="00A760EC" w:rsidRDefault="00A760EC">
      <w:r>
        <w:br w:type="page"/>
      </w:r>
    </w:p>
    <w:p w14:paraId="48F1CFE8" w14:textId="77777777" w:rsidR="00A760EC" w:rsidRDefault="00A760EC" w:rsidP="00450199">
      <w:pPr>
        <w:spacing w:after="100"/>
        <w:ind w:left="360" w:hanging="360"/>
      </w:pPr>
      <w:r>
        <w:lastRenderedPageBreak/>
        <w:t xml:space="preserve">Liu, B. (2012). </w:t>
      </w:r>
      <w:r>
        <w:rPr>
          <w:i/>
          <w:iCs/>
        </w:rPr>
        <w:t>Sentiment Analysis and Opinion Mining</w:t>
      </w:r>
      <w:r>
        <w:t>. Morgan &amp; Claypool.</w:t>
      </w:r>
    </w:p>
    <w:p w14:paraId="70DEBED1" w14:textId="1FD4FCC5" w:rsidR="00A760EC" w:rsidRDefault="00A760EC" w:rsidP="00450199">
      <w:pPr>
        <w:spacing w:after="100"/>
        <w:ind w:left="360" w:hanging="360"/>
      </w:pPr>
      <w:r>
        <w:t xml:space="preserve">Zunic, A., Corcoran, P., &amp; Spasic, I. (2020). Sentiment analysis in health and well-being: Systematic review. </w:t>
      </w:r>
      <w:r>
        <w:rPr>
          <w:i/>
          <w:iCs/>
        </w:rPr>
        <w:t>JMIR Medical Informatics</w:t>
      </w:r>
      <w:r>
        <w:t>, 8(1), e16023.</w:t>
      </w:r>
    </w:p>
    <w:p w14:paraId="4A385BA8" w14:textId="020AE885" w:rsidR="00A760EC" w:rsidRDefault="00A760EC" w:rsidP="00450199">
      <w:pPr>
        <w:spacing w:after="100"/>
        <w:ind w:left="360" w:hanging="360"/>
      </w:pPr>
      <w:r>
        <w:t xml:space="preserve">Chauhan, P., Sharma, N., &amp; Sikka, G. (2021). The emergence of social media data and sentiment analysis in election prediction. </w:t>
      </w:r>
      <w:r>
        <w:rPr>
          <w:i/>
          <w:iCs/>
        </w:rPr>
        <w:t>Journal of Ambient Intelligence and Humanized Computing</w:t>
      </w:r>
      <w:r>
        <w:t>, 12(2), 2601–2627.</w:t>
      </w:r>
    </w:p>
    <w:p w14:paraId="7E8E5F77" w14:textId="589F2B53" w:rsidR="00A760EC" w:rsidRDefault="00A760EC" w:rsidP="00450199">
      <w:pPr>
        <w:spacing w:after="100"/>
        <w:ind w:left="360" w:hanging="360"/>
      </w:pPr>
      <w:r>
        <w:t xml:space="preserve">Du, K., Xing, F., Mao, R., &amp; Cambria, E. (2024). Financial sentiment analysis: Techniques and applications. </w:t>
      </w:r>
      <w:r>
        <w:rPr>
          <w:i/>
          <w:iCs/>
        </w:rPr>
        <w:t>ACM Computing Surveys</w:t>
      </w:r>
      <w:r>
        <w:t>, 56(9), Article 220, 42 pages.</w:t>
      </w:r>
    </w:p>
    <w:p w14:paraId="63C0165B" w14:textId="77777777" w:rsidR="004E4CA3" w:rsidRDefault="004E4CA3" w:rsidP="00450199">
      <w:pPr>
        <w:spacing w:after="100"/>
        <w:ind w:left="360" w:hanging="360"/>
      </w:pPr>
      <w:r>
        <w:t>Poplack (1980)</w:t>
      </w:r>
    </w:p>
    <w:p w14:paraId="6C6364E0" w14:textId="77777777" w:rsidR="004E4CA3" w:rsidRDefault="004E4CA3" w:rsidP="00450199">
      <w:pPr>
        <w:spacing w:after="100"/>
        <w:ind w:left="360" w:hanging="360"/>
      </w:pPr>
      <w:r>
        <w:t>Vilares et al. (2017)</w:t>
      </w:r>
    </w:p>
    <w:p w14:paraId="5270612B" w14:textId="26478EC9" w:rsidR="009935D7" w:rsidRDefault="004E4CA3" w:rsidP="00450199">
      <w:pPr>
        <w:spacing w:after="100"/>
        <w:ind w:left="360" w:hanging="360"/>
      </w:pPr>
      <w:r>
        <w:t>Maskat et al. (2024)</w:t>
      </w:r>
    </w:p>
    <w:p w14:paraId="2D736D0C" w14:textId="7C0DF2D8" w:rsidR="009935D7" w:rsidRPr="00450199" w:rsidRDefault="009935D7" w:rsidP="00450199">
      <w:pPr>
        <w:spacing w:after="100"/>
        <w:ind w:left="360" w:hanging="360"/>
      </w:pPr>
      <w:r>
        <w:t>Krippendorff (1980)</w:t>
      </w:r>
    </w:p>
    <w:sectPr w:rsidR="009935D7" w:rsidRPr="00450199">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4C5E9" w14:textId="77777777" w:rsidR="002407AF" w:rsidRDefault="002407AF">
      <w:r>
        <w:separator/>
      </w:r>
    </w:p>
  </w:endnote>
  <w:endnote w:type="continuationSeparator" w:id="0">
    <w:p w14:paraId="2546913C" w14:textId="77777777" w:rsidR="002407AF" w:rsidRDefault="00240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1836"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A89" w14:textId="782D2AB1"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209"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620D8F9D"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05C6" w14:textId="77777777" w:rsidR="002407AF" w:rsidRDefault="002407AF">
      <w:r>
        <w:separator/>
      </w:r>
    </w:p>
  </w:footnote>
  <w:footnote w:type="continuationSeparator" w:id="0">
    <w:p w14:paraId="76DB8695" w14:textId="77777777" w:rsidR="002407AF" w:rsidRDefault="00240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8E"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70EA8348"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6FBB51EC"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26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52204941" w14:textId="77777777" w:rsidR="00EE11D5" w:rsidRDefault="00EE11D5">
    <w:pPr>
      <w:pBdr>
        <w:top w:val="nil"/>
        <w:left w:val="nil"/>
        <w:bottom w:val="nil"/>
        <w:right w:val="nil"/>
        <w:between w:val="nil"/>
      </w:pBdr>
      <w:tabs>
        <w:tab w:val="center" w:pos="4252"/>
        <w:tab w:val="right" w:pos="8504"/>
      </w:tabs>
      <w:rPr>
        <w:color w:val="000000"/>
      </w:rPr>
    </w:pPr>
  </w:p>
  <w:p w14:paraId="3BA7273E"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25F7" w14:textId="79C33E1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Pr>
        <w:color w:val="000000"/>
        <w:highlight w:val="white"/>
      </w:rPr>
      <w:t xml:space="preserve">                                                              </w:t>
    </w:r>
    <w:r>
      <w:rPr>
        <w:color w:val="000000"/>
      </w:rPr>
      <w:t>xxx</w:t>
    </w:r>
  </w:p>
  <w:p w14:paraId="5744539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E3996"/>
    <w:rsid w:val="000E6A3B"/>
    <w:rsid w:val="000F27E4"/>
    <w:rsid w:val="000F2D50"/>
    <w:rsid w:val="0014164E"/>
    <w:rsid w:val="00222FCD"/>
    <w:rsid w:val="00224568"/>
    <w:rsid w:val="002407AF"/>
    <w:rsid w:val="00272CE9"/>
    <w:rsid w:val="00286811"/>
    <w:rsid w:val="002B2833"/>
    <w:rsid w:val="003128D3"/>
    <w:rsid w:val="00316EED"/>
    <w:rsid w:val="003470A5"/>
    <w:rsid w:val="00352331"/>
    <w:rsid w:val="003F661C"/>
    <w:rsid w:val="00450199"/>
    <w:rsid w:val="004569AD"/>
    <w:rsid w:val="004E4CA3"/>
    <w:rsid w:val="004E64B1"/>
    <w:rsid w:val="004F38F1"/>
    <w:rsid w:val="004F58BB"/>
    <w:rsid w:val="00537E67"/>
    <w:rsid w:val="00597712"/>
    <w:rsid w:val="005B2790"/>
    <w:rsid w:val="005B7A36"/>
    <w:rsid w:val="005C715F"/>
    <w:rsid w:val="00614CE4"/>
    <w:rsid w:val="006567B8"/>
    <w:rsid w:val="00692B79"/>
    <w:rsid w:val="0069412C"/>
    <w:rsid w:val="00694D25"/>
    <w:rsid w:val="00695AE9"/>
    <w:rsid w:val="006B2881"/>
    <w:rsid w:val="006D0C9B"/>
    <w:rsid w:val="00726DB4"/>
    <w:rsid w:val="007815A9"/>
    <w:rsid w:val="007C2D5D"/>
    <w:rsid w:val="007D0BA7"/>
    <w:rsid w:val="007D4242"/>
    <w:rsid w:val="008103C9"/>
    <w:rsid w:val="0086530F"/>
    <w:rsid w:val="008A591D"/>
    <w:rsid w:val="008D0104"/>
    <w:rsid w:val="008E60EB"/>
    <w:rsid w:val="008F028A"/>
    <w:rsid w:val="008F6FD8"/>
    <w:rsid w:val="00912EE0"/>
    <w:rsid w:val="00913457"/>
    <w:rsid w:val="00914311"/>
    <w:rsid w:val="009935D7"/>
    <w:rsid w:val="009A3C02"/>
    <w:rsid w:val="009B6BCD"/>
    <w:rsid w:val="009E7741"/>
    <w:rsid w:val="00A11BA7"/>
    <w:rsid w:val="00A23E09"/>
    <w:rsid w:val="00A25694"/>
    <w:rsid w:val="00A27D4E"/>
    <w:rsid w:val="00A760EC"/>
    <w:rsid w:val="00AC5C02"/>
    <w:rsid w:val="00AF7411"/>
    <w:rsid w:val="00B4308B"/>
    <w:rsid w:val="00B47F55"/>
    <w:rsid w:val="00B678C2"/>
    <w:rsid w:val="00B8497D"/>
    <w:rsid w:val="00B93FD7"/>
    <w:rsid w:val="00BE2CD1"/>
    <w:rsid w:val="00BF2E3E"/>
    <w:rsid w:val="00BF3896"/>
    <w:rsid w:val="00C52078"/>
    <w:rsid w:val="00C57716"/>
    <w:rsid w:val="00C853F9"/>
    <w:rsid w:val="00C9277E"/>
    <w:rsid w:val="00D62CE0"/>
    <w:rsid w:val="00DC7787"/>
    <w:rsid w:val="00DD2E3E"/>
    <w:rsid w:val="00DF194B"/>
    <w:rsid w:val="00E66619"/>
    <w:rsid w:val="00E83DFF"/>
    <w:rsid w:val="00EE11D5"/>
    <w:rsid w:val="00EE1483"/>
    <w:rsid w:val="00F0392C"/>
    <w:rsid w:val="00F24B45"/>
    <w:rsid w:val="00F763D0"/>
    <w:rsid w:val="00F95336"/>
    <w:rsid w:val="00FA1B2B"/>
    <w:rsid w:val="00FA296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BCD"/>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62/tacl_a_00293"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8653/v1/2021.calcs-1.2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15</Pages>
  <Words>6511</Words>
  <Characters>37113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82</cp:revision>
  <cp:lastPrinted>2026-09-13T09:07:00Z</cp:lastPrinted>
  <dcterms:created xsi:type="dcterms:W3CDTF">2026-07-02T08:05:00Z</dcterms:created>
  <dcterms:modified xsi:type="dcterms:W3CDTF">2026-09-15T07:03:00Z</dcterms:modified>
</cp:coreProperties>
</file>