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r>
              <w:rPr>
                <w:b w:val="0"/>
                <w:sz w:val="18"/>
                <w:szCs w:val="18"/>
              </w:rPr>
              <w:t>xyz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6784512A"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Bahasa Rojak,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w:t>
      </w:r>
      <w:r>
        <w:rPr>
          <w:sz w:val="24"/>
          <w:szCs w:val="24"/>
          <w:lang w:val="en-GB"/>
        </w:rPr>
        <w:lastRenderedPageBreak/>
        <w:t xml:space="preserve">conditions for which they were designed. Doğruöz et al. (2021) call this alternation code-switching, and report that effect </w:t>
      </w:r>
      <w:r w:rsidR="00247B5D" w:rsidRPr="00247B5D">
        <w:rPr>
          <w:sz w:val="24"/>
          <w:szCs w:val="24"/>
          <w:lang w:val="en-GB"/>
        </w:rPr>
        <w:t xml:space="preserve">of code-switching on model </w:t>
      </w:r>
      <w:r>
        <w:rPr>
          <w:sz w:val="24"/>
          <w:szCs w:val="24"/>
          <w:lang w:val="en-GB"/>
        </w:rPr>
        <w:t>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w:t>
      </w:r>
      <w:r w:rsidR="00247B5D">
        <w:rPr>
          <w:sz w:val="24"/>
          <w:szCs w:val="24"/>
          <w:lang w:val="en-GB"/>
        </w:rPr>
        <w:t xml:space="preserve">languages </w:t>
      </w:r>
      <w:r>
        <w:rPr>
          <w:sz w:val="24"/>
          <w:szCs w:val="24"/>
          <w:lang w:val="en-GB"/>
        </w:rPr>
        <w:t xml:space="preserve">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w:t>
      </w:r>
      <w:r w:rsidR="00247B5D">
        <w:rPr>
          <w:sz w:val="24"/>
          <w:szCs w:val="24"/>
          <w:lang w:val="en-GB"/>
        </w:rPr>
        <w:t>-</w:t>
      </w:r>
      <w:r>
        <w:rPr>
          <w:sz w:val="24"/>
          <w:szCs w:val="24"/>
          <w:lang w:val="en-GB"/>
        </w:rPr>
        <w:t xml:space="preserve">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w:t>
      </w:r>
      <w:r w:rsidR="00920A5C">
        <w:rPr>
          <w:sz w:val="24"/>
          <w:szCs w:val="24"/>
          <w:lang w:val="en-GB"/>
        </w:rPr>
        <w:t xml:space="preserve">is </w:t>
      </w:r>
      <w:r>
        <w:rPr>
          <w:sz w:val="24"/>
          <w:szCs w:val="24"/>
          <w:lang w:val="en-GB"/>
        </w:rPr>
        <w:t xml:space="preserve">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xml:space="preserve">, does not list these non-standard forms (Dewan Bahasa dan Pustaka, 2005). Tools that rely on such a dictionary may therefore treat them as out-of-vocabulary items, meaning words absent from the reference lexicon (Maskat and Rahman, 2020). </w:t>
      </w:r>
      <w:commentRangeStart w:id="0"/>
      <w:r>
        <w:rPr>
          <w:sz w:val="24"/>
          <w:szCs w:val="24"/>
          <w:lang w:val="en-GB"/>
        </w:rPr>
        <w:t>Abu Bakar et al. (2020) describe Malay social media text in those terms, as misspelled, out-of-vocabulary, ill-formed and noisy.</w:t>
      </w:r>
      <w:commentRangeEnd w:id="0"/>
      <w:r w:rsidR="00920A5C">
        <w:rPr>
          <w:rStyle w:val="CommentReference"/>
          <w:sz w:val="24"/>
          <w:szCs w:val="24"/>
          <w:lang w:val="en-GB"/>
        </w:rPr>
        <w:commentReference w:id="0"/>
      </w:r>
      <w:r>
        <w:rPr>
          <w:sz w:val="24"/>
          <w:szCs w:val="24"/>
          <w:lang w:val="en-GB"/>
        </w:rPr>
        <w:t xml:space="preserve">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lastRenderedPageBreak/>
        <w:t>These differences between Malaysian writing conventions and the assumptions built into standard tools raise a question about the source of the difficulty. When a sentiment model performs poorly on Malay-English mixed text, one common explanation concerns the model architecture (Doğruöz et al., 2021; Winata et al., 2023). Under this</w:t>
      </w:r>
      <w:r w:rsidR="00920A5C">
        <w:rPr>
          <w:sz w:val="24"/>
          <w:szCs w:val="24"/>
          <w:lang w:val="en-GB"/>
        </w:rPr>
        <w:t xml:space="preserve"> view</w:t>
      </w:r>
      <w:r>
        <w:rPr>
          <w:sz w:val="24"/>
          <w:szCs w:val="24"/>
          <w:lang w:val="en-GB"/>
        </w:rPr>
        <w:t xml:space="preserve">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call</w:t>
      </w:r>
      <w:r w:rsidR="00920A5C">
        <w:rPr>
          <w:sz w:val="24"/>
          <w:szCs w:val="24"/>
          <w:lang w:val="en-GB"/>
        </w:rPr>
        <w:t>ed</w:t>
      </w:r>
      <w:r>
        <w:rPr>
          <w:sz w:val="24"/>
          <w:szCs w:val="24"/>
          <w:lang w:val="en-GB"/>
        </w:rPr>
        <w:t xml:space="preserve"> positive transfer. Beyond a point, however, the modelling capacity available to any individual language falls, which call</w:t>
      </w:r>
      <w:r w:rsidR="00920A5C">
        <w:rPr>
          <w:sz w:val="24"/>
          <w:szCs w:val="24"/>
          <w:lang w:val="en-GB"/>
        </w:rPr>
        <w:t>ed</w:t>
      </w:r>
      <w:r>
        <w:rPr>
          <w:sz w:val="24"/>
          <w:szCs w:val="24"/>
          <w:lang w:val="en-GB"/>
        </w:rPr>
        <w:t xml:space="preserve">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 xml:space="preserve">Another source of difficulty arises one step earlier, at the point where sentiment labels are created. Supervised sentiment analysis requires a sentiment label for every message before a model can be trained or evaluated on it. </w:t>
      </w:r>
      <w:commentRangeStart w:id="1"/>
      <w:r>
        <w:rPr>
          <w:sz w:val="24"/>
          <w:szCs w:val="24"/>
          <w:lang w:val="en-GB"/>
        </w:rPr>
        <w:t xml:space="preserve">Poria et al. (2023) note that the heavy reliance of deep learning models on annotated data is often limiting. They add that this limitation has renewed interest in supplying models with external knowledge such as sentiment lexicons. </w:t>
      </w:r>
      <w:commentRangeEnd w:id="1"/>
      <w:r w:rsidR="00926635">
        <w:rPr>
          <w:rStyle w:val="CommentReference"/>
          <w:sz w:val="24"/>
          <w:szCs w:val="24"/>
          <w:lang w:val="en-GB"/>
        </w:rPr>
        <w:commentReference w:id="1"/>
      </w:r>
      <w:r>
        <w:rPr>
          <w:sz w:val="24"/>
          <w:szCs w:val="24"/>
          <w:lang w:val="en-GB"/>
        </w:rPr>
        <w:t>That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Those two stages apply to supervised learning in general</w:t>
      </w:r>
      <w:commentRangeStart w:id="2"/>
      <w:r>
        <w:rPr>
          <w:sz w:val="24"/>
          <w:szCs w:val="24"/>
          <w:lang w:val="en-GB"/>
        </w:rPr>
        <w:t>. For Malaysian Malay-English code-mixed sentiment data, three findings point to the quality of the sentiment labels, rather than the choice of model, as the more limiting constraint at present</w:t>
      </w:r>
      <w:commentRangeEnd w:id="2"/>
      <w:r w:rsidR="00926635">
        <w:rPr>
          <w:rStyle w:val="CommentReference"/>
          <w:sz w:val="24"/>
          <w:szCs w:val="24"/>
          <w:lang w:val="en-GB"/>
        </w:rPr>
        <w:commentReference w:id="2"/>
      </w:r>
      <w:r>
        <w:rPr>
          <w:sz w:val="24"/>
          <w:szCs w:val="24"/>
          <w:lang w:val="en-GB"/>
        </w:rPr>
        <w:t xml:space="preserve">. Each is developed in the sections that follow. First, this review identifies four Malay-English sentiment resources (Kasmuri and Basiron, 2019; Romadhona et al., 2022; Kong et al., 2023; Mohd Shamsuddin et al., 2024). None of them meets all four of the criteria a general-purpose resource would need. Those criteria are (1) at least ten thousand labelled messages; (2) a label distribution that is not dominated </w:t>
      </w:r>
      <w:r>
        <w:rPr>
          <w:sz w:val="24"/>
          <w:szCs w:val="24"/>
          <w:lang w:val="en-GB"/>
        </w:rPr>
        <w:lastRenderedPageBreak/>
        <w:t>by a single sentiment class; (3) text drawn from everyday social media posts rather than from blogs or reviews; and (4) an assessment of annotation 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(Kasmuri and Basiron, 2019; Romadhona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Artstein and Poesio,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w:t>
      </w:r>
      <w:commentRangeStart w:id="3"/>
      <w:r>
        <w:rPr>
          <w:sz w:val="24"/>
          <w:szCs w:val="24"/>
          <w:lang w:val="en-GB"/>
        </w:rPr>
        <w:t xml:space="preserve">Di Eugenio and Glass (2004) call this effect the prevalence problem. The skew towards the neutral label described in the second finding is therefore the same condition that makes Cohen's </w:t>
      </w:r>
      <w:r>
        <w:rPr>
          <w:i/>
          <w:iCs/>
          <w:sz w:val="24"/>
          <w:szCs w:val="24"/>
          <w:lang w:val="en-GB"/>
        </w:rPr>
        <w:t>κ</w:t>
      </w:r>
      <w:r>
        <w:rPr>
          <w:sz w:val="24"/>
          <w:szCs w:val="24"/>
          <w:lang w:val="en-GB"/>
        </w:rPr>
        <w:t xml:space="preserve"> more difficult to interpret in the third. Neither correction would be sufficient without the other. Selvaraju et al. (2024) find the same shortage in research on code-mixed Malay text more generally, reporting that comprehensive datasets and annotated resources are still lacking.</w:t>
      </w:r>
      <w:commentRangeEnd w:id="3"/>
      <w:r w:rsidR="004A190C">
        <w:rPr>
          <w:rStyle w:val="CommentReference"/>
          <w:sz w:val="24"/>
          <w:szCs w:val="24"/>
          <w:lang w:val="en-GB"/>
        </w:rPr>
        <w:commentReference w:id="3"/>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14C8A272" w14:textId="77777777" w:rsidR="00754684" w:rsidRDefault="00000000">
      <w:pPr>
        <w:numPr>
          <w:ilvl w:val="0"/>
          <w:numId w:val="5"/>
        </w:numPr>
        <w:spacing w:before="120"/>
        <w:jc w:val="both"/>
        <w:rPr>
          <w:sz w:val="24"/>
          <w:szCs w:val="24"/>
          <w:lang w:val="en-GB"/>
        </w:rPr>
      </w:pPr>
      <w:r>
        <w:rPr>
          <w:sz w:val="24"/>
          <w:szCs w:val="24"/>
          <w:lang w:val="en-GB"/>
        </w:rPr>
        <w:t xml:space="preserve">It distinguishes two sources of neutral-label skew, one produced by the labelling tools themselves and the other by genuine uncertainty among annotators. </w:t>
      </w:r>
      <w:commentRangeStart w:id="4"/>
      <w:r>
        <w:rPr>
          <w:sz w:val="24"/>
          <w:szCs w:val="24"/>
          <w:lang w:val="en-GB"/>
        </w:rPr>
        <w:t xml:space="preserve">It also examines what the studies that introduced the four </w:t>
      </w:r>
      <w:commentRangeStart w:id="5"/>
      <w:r>
        <w:rPr>
          <w:sz w:val="24"/>
          <w:szCs w:val="24"/>
          <w:lang w:val="en-GB"/>
        </w:rPr>
        <w:t xml:space="preserve">Malay-English sentiment resources </w:t>
      </w:r>
      <w:commentRangeEnd w:id="5"/>
      <w:r w:rsidR="004A190C">
        <w:rPr>
          <w:rStyle w:val="CommentReference"/>
          <w:sz w:val="24"/>
          <w:szCs w:val="24"/>
          <w:lang w:val="en-GB"/>
        </w:rPr>
        <w:commentReference w:id="5"/>
      </w:r>
      <w:r>
        <w:rPr>
          <w:sz w:val="24"/>
          <w:szCs w:val="24"/>
          <w:lang w:val="en-GB"/>
        </w:rPr>
        <w:t>report about how reliably each was annotated.</w:t>
      </w:r>
      <w:commentRangeEnd w:id="4"/>
      <w:r w:rsidR="004A190C">
        <w:rPr>
          <w:rStyle w:val="CommentReference"/>
          <w:sz w:val="24"/>
          <w:szCs w:val="24"/>
          <w:lang w:val="en-GB"/>
        </w:rPr>
        <w:commentReference w:id="4"/>
      </w:r>
    </w:p>
    <w:p w14:paraId="700CADAD" w14:textId="77777777" w:rsidR="00754684"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316FC3E1" w14:textId="77777777" w:rsidR="00754684" w:rsidRDefault="00000000">
      <w:pPr>
        <w:spacing w:before="120"/>
        <w:ind w:firstLine="244"/>
        <w:jc w:val="both"/>
        <w:rPr>
          <w:sz w:val="24"/>
          <w:szCs w:val="24"/>
          <w:lang w:val="en-GB"/>
        </w:rPr>
      </w:pPr>
      <w:r>
        <w:rPr>
          <w:sz w:val="24"/>
          <w:szCs w:val="24"/>
          <w:lang w:val="en-GB"/>
        </w:rPr>
        <w:lastRenderedPageBreak/>
        <w:t>The literature examined here was identified through searches of the ACL Anthology, IEEE Xplore, Scopus and arXiv,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sz w:val="24"/>
          <w:szCs w:val="24"/>
          <w:lang w:val="en-GB"/>
        </w:rPr>
        <w:t>The rest of this paper is organised as follows. Section 2 explains why Malaysian code-mixed writing is difficult to annotate. Section 3 examines annotation practice and its failure modes, and Section 4 examines the models that are used as annotators. Section 5 discusses how annotation reliability is evaluated. Section 6 brings these findings together and sets out directions for future research, and Section 7 concludes the review.</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14:paraId="75B4FFC1" w14:textId="77777777" w:rsidR="001B76A7" w:rsidRPr="006546A0" w:rsidRDefault="00C127AD" w:rsidP="001B76A7">
      <w:pPr>
        <w:tabs>
          <w:tab w:val="left" w:pos="24"/>
        </w:tabs>
        <w:jc w:val="both"/>
        <w:rPr>
          <w:b/>
          <w:sz w:val="26"/>
          <w:szCs w:val="26"/>
        </w:rPr>
      </w:pPr>
      <w:r>
        <w:rPr>
          <w:b/>
          <w:sz w:val="26"/>
          <w:szCs w:val="26"/>
        </w:rPr>
        <w:t>2. Why Malaysian Code-Mixed Text Is Difficult to Annotate</w:t>
      </w:r>
    </w:p>
    <w:p w14:paraId="3BC47504" w14:textId="77777777" w:rsidR="006546A0" w:rsidRDefault="00F379CB" w:rsidP="00F379CB">
      <w:pPr>
        <w:spacing w:before="120"/>
        <w:jc w:val="both"/>
        <w:rPr>
          <w:sz w:val="24"/>
          <w:szCs w:val="24"/>
        </w:rPr>
      </w:pPr>
      <w:r>
        <w:rPr>
          <w:sz w:val="24"/>
          <w:szCs w:val="24"/>
        </w:rPr>
        <w:t>The studies selected under these criteria describe a body of text whose linguistic properties shape every later stage of the review, and those properties are therefore examined first. Three of them affect the annotation task directly. The first is that switching occurs inside the sentence and offers little reliable cue to where the opinion is located. The second is that affective meaning is often carried by function words that appear in no standard sentiment lexicon. The third is that phonetic spelling multiplies the surface forms of a single word. All three are already described in the sociolinguistic literature on Malay-English contact (Treffers-Daller et al., 2022; AlAfnan et al., 2025; Muysken, 2013). What this section adds is not the description but the consequence that each property carries for the annotator, whether human or automatic, who must assign a sentiment label. Each property is therefore presented together with a short statement of that consequence, and the linguistic description itself is not extended beyond what the consequence requires.</w:t>
      </w:r>
    </w:p>
    <w:p w14:paraId="7AC9F57D" w14:textId="77777777" w:rsidR="00B30939" w:rsidRPr="0040646E" w:rsidRDefault="00B30939" w:rsidP="00B30939">
      <w:pPr>
        <w:jc w:val="both"/>
        <w:rPr>
          <w:sz w:val="24"/>
          <w:szCs w:val="24"/>
        </w:rPr>
      </w:pPr>
    </w:p>
    <w:p w14:paraId="30DBB0DA" w14:textId="77777777" w:rsidR="00F379CB" w:rsidRPr="006546A0" w:rsidRDefault="00C127AD" w:rsidP="00B30939">
      <w:pPr>
        <w:jc w:val="both"/>
        <w:rPr>
          <w:b/>
          <w:bCs/>
          <w:szCs w:val="24"/>
        </w:rPr>
      </w:pPr>
      <w:r>
        <w:rPr>
          <w:b/>
          <w:bCs/>
          <w:sz w:val="24"/>
          <w:szCs w:val="24"/>
        </w:rPr>
        <w:t xml:space="preserve">2.1 </w:t>
      </w:r>
      <w:r>
        <w:rPr>
          <w:b/>
          <w:bCs/>
          <w:sz w:val="24"/>
          <w:szCs w:val="32"/>
        </w:rPr>
        <w:t>Switching occurs within the sentence and offers little reliable structural cue</w:t>
      </w:r>
    </w:p>
    <w:p w14:paraId="771C5928" w14:textId="77777777" w:rsidR="00F379CB" w:rsidRPr="006546A0" w:rsidRDefault="00F379CB" w:rsidP="006C2993">
      <w:pPr>
        <w:spacing w:before="120"/>
        <w:ind w:firstLine="244"/>
        <w:jc w:val="both"/>
        <w:rPr>
          <w:sz w:val="24"/>
          <w:szCs w:val="24"/>
        </w:rPr>
      </w:pPr>
      <w:r>
        <w:rPr>
          <w:sz w:val="24"/>
          <w:szCs w:val="24"/>
        </w:rPr>
        <w:t xml:space="preserve">Malay-English switching occurs predominantly within the clause rather than between clauses. Treffers-Daller et al. (2022) analysed 1,044 switched utterances and found that insertion, in which a content word or phrase from one language is embedded in a stretch of the other, accounted for 33.0% of switches. Congruent lexicalisation, in which the grammar and vocabulary of both languages operate within a shared word order, accounted for a further 30.7%. Clause-level alternation accounted for 24.8%. The authors explain this distribution typologically rather than stylistically. English and Malay share Subject-Verb-Object (SVO) word order, and Malay carries very little inflectional morphology, so a speaker can move between the two languages mid-clause with minimal grammatical adjustment (Treffers-Daller et al., 2022; Muysken, 2013). </w:t>
      </w:r>
    </w:p>
    <w:p w14:paraId="15955C0E" w14:textId="77777777" w:rsidR="00F379CB" w:rsidRPr="00E10A8D" w:rsidRDefault="00E10A8D" w:rsidP="00E10A8D">
      <w:pPr>
        <w:spacing w:before="120"/>
        <w:ind w:firstLine="244"/>
        <w:jc w:val="both"/>
        <w:rPr>
          <w:sz w:val="24"/>
          <w:szCs w:val="24"/>
          <w:lang w:val="en-GB"/>
        </w:rPr>
      </w:pPr>
      <w:r>
        <w:rPr>
          <w:sz w:val="24"/>
          <w:szCs w:val="24"/>
          <w:lang w:val="en-GB"/>
        </w:rPr>
        <w:t>The corpus analysed is spoken, so the exact proportions should not be transferred to social media text. The structural explanation, however, is a property of the language pair rather than of the medium, and it therefore applies wherever the two languages are used together.</w:t>
      </w:r>
      <w:r>
        <w:rPr>
          <w:sz w:val="24"/>
          <w:szCs w:val="24"/>
        </w:rPr>
        <w:t xml:space="preserve"> A written instance is the post "Does institut kanser offer free medication cheap chemotherapy", in which a Malay noun phrase, in Malay head-initial word order, is embedded within an English question (Mohd Shamsuddin et al., 2024).</w:t>
      </w:r>
    </w:p>
    <w:p w14:paraId="1DF936C4" w14:textId="77777777" w:rsidR="0040646E" w:rsidRDefault="00F379CB" w:rsidP="00B30939">
      <w:pPr>
        <w:spacing w:before="120"/>
        <w:ind w:firstLine="244"/>
        <w:jc w:val="both"/>
        <w:rPr>
          <w:sz w:val="24"/>
          <w:szCs w:val="24"/>
        </w:rPr>
      </w:pPr>
      <w:r>
        <w:rPr>
          <w:sz w:val="24"/>
          <w:szCs w:val="24"/>
        </w:rPr>
        <w:lastRenderedPageBreak/>
        <w:t>The consequence for annotation is that the annotator cannot use a language boundary to locate the part of the message that carries the sentiment. In monolingual annotation this location step is separate from the judgement itself and largely mechanical. Annotation schemes for aspect-based sentiment analysis, for example, require the opinion target expression to be marked as an explicit span in the text before a polarity label is assigned to it (Pontiki et al., 2016; Nazir et al., 2022). In Malay-English mixed text, identifying that span is already an act of interpretation. Two annotators may therefore assign different labels not because they read the sentiment differently, but because they are reading different parts of the message. Disagreement about which span to judge precedes, and is separate from, disagreement about polarity.</w:t>
      </w:r>
    </w:p>
    <w:p w14:paraId="7CB6C116" w14:textId="77777777" w:rsidR="00B30939" w:rsidRDefault="00B30939" w:rsidP="00B30939">
      <w:pPr>
        <w:ind w:firstLine="244"/>
        <w:jc w:val="both"/>
        <w:rPr>
          <w:sz w:val="24"/>
          <w:szCs w:val="24"/>
        </w:rPr>
      </w:pPr>
    </w:p>
    <w:p w14:paraId="0A1A5890" w14:textId="77777777" w:rsidR="0040646E" w:rsidRPr="0040646E" w:rsidRDefault="00C127AD" w:rsidP="00B30939">
      <w:pPr>
        <w:jc w:val="both"/>
        <w:rPr>
          <w:b/>
          <w:bCs/>
          <w:szCs w:val="24"/>
          <w:lang w:val="en-GB"/>
        </w:rPr>
      </w:pPr>
      <w:r>
        <w:rPr>
          <w:b/>
          <w:bCs/>
          <w:sz w:val="24"/>
          <w:szCs w:val="24"/>
        </w:rPr>
        <w:t xml:space="preserve">2.2 </w:t>
      </w:r>
      <w:r>
        <w:rPr>
          <w:b/>
          <w:bCs/>
          <w:sz w:val="24"/>
          <w:szCs w:val="32"/>
          <w:lang w:val="en-GB"/>
        </w:rPr>
        <w:t>Affective meaning is carried by particles that belong to neither standard language</w:t>
      </w:r>
    </w:p>
    <w:p w14:paraId="2FC4519F" w14:textId="77777777" w:rsidR="0040646E" w:rsidRDefault="0040646E" w:rsidP="0040646E">
      <w:pPr>
        <w:spacing w:before="120"/>
        <w:ind w:firstLine="244"/>
        <w:jc w:val="both"/>
        <w:rPr>
          <w:sz w:val="24"/>
          <w:szCs w:val="24"/>
          <w:lang w:val="en-GB"/>
        </w:rPr>
      </w:pPr>
      <w:r>
        <w:rPr>
          <w:sz w:val="24"/>
          <w:szCs w:val="24"/>
          <w:lang w:val="en-GB"/>
        </w:rPr>
        <w:t xml:space="preserve">Locating the opinion-bearing span is only the first difficulty. A second arises once the span has been found. In Malay-English mixed writing, the element that carries the affect is often a Malay particle attached to a clause that is otherwise entirely in English (Treffers-Daller et al., 2022). The construction is a distinct type of code-switching, which Muysken (2013) terms back-flagging. Treffers-Daller et al. (2022) define it as the attachment of a discourse marker or co-ordinate conjunction from a speaker's first language to a stretch of speech in the second. Back-flagging accounts for 121 of the 1,044 switched utterances in their data, or 11.6%. The particle involved most frequently is </w:t>
      </w:r>
      <w:r>
        <w:rPr>
          <w:i/>
          <w:iCs/>
          <w:sz w:val="24"/>
          <w:szCs w:val="24"/>
          <w:lang w:val="en-GB"/>
        </w:rPr>
        <w:t>lah</w:t>
      </w:r>
      <w:r>
        <w:rPr>
          <w:sz w:val="24"/>
          <w:szCs w:val="24"/>
          <w:lang w:val="en-GB"/>
        </w:rPr>
        <w:t>, which the same study reports can attach to a clause that is entirely English, entirely Malay or mixed. Two examples it reproduces from earlier descriptive work are "Buy this lah" and "you understand lah kan".</w:t>
      </w:r>
    </w:p>
    <w:p w14:paraId="197C1B47" w14:textId="77777777" w:rsidR="0040646E" w:rsidRDefault="0040646E" w:rsidP="0040646E">
      <w:pPr>
        <w:spacing w:before="120"/>
        <w:ind w:firstLine="244"/>
        <w:jc w:val="both"/>
        <w:rPr>
          <w:sz w:val="24"/>
          <w:szCs w:val="24"/>
          <w:lang w:val="en-GB"/>
        </w:rPr>
      </w:pPr>
      <w:r>
        <w:rPr>
          <w:sz w:val="24"/>
          <w:szCs w:val="24"/>
          <w:lang w:val="en-GB"/>
        </w:rPr>
        <w:t xml:space="preserve">What these particles contribute is pragmatic rather than propositional, and the pragmatic work they do is affective. AlAfnan et al. (2025) classify particles as a lexical feature that adds emphasis or tone and signals politeness or informality. The same study identifies the softening of directives as one of their pragmatic functions, giving "Don't disturb la, he's busy" as an instance in which the particle makes an instruction less direct. </w:t>
      </w:r>
      <w:r>
        <w:rPr>
          <w:sz w:val="24"/>
          <w:szCs w:val="24"/>
        </w:rPr>
        <w:t xml:space="preserve">Treffers-Daller et al. (2022) describe the effect more precisely: </w:t>
      </w:r>
      <w:r>
        <w:rPr>
          <w:i/>
          <w:iCs/>
          <w:sz w:val="24"/>
          <w:szCs w:val="24"/>
        </w:rPr>
        <w:t>lah</w:t>
      </w:r>
      <w:r>
        <w:rPr>
          <w:sz w:val="24"/>
          <w:szCs w:val="24"/>
        </w:rPr>
        <w:t xml:space="preserve"> shifts an utterance from a highly assertive tone to a polite request or a friendly encouragement</w:t>
      </w:r>
      <w:r>
        <w:rPr>
          <w:sz w:val="24"/>
          <w:szCs w:val="24"/>
          <w:lang w:val="en-GB"/>
        </w:rPr>
        <w:t>. These particles belong to Manglish rather than to either source language, and AlAfnan et al. (2025) list them among the features that distinguish Manglish from standard English and standard Malay. In both accounts the particle leaves unchanged what the sentence states. What it changes is how the sentence is to be taken, which is the property a sentiment label is meant to record.</w:t>
      </w:r>
    </w:p>
    <w:p w14:paraId="492F3674" w14:textId="77777777" w:rsidR="0040646E" w:rsidRDefault="0040646E" w:rsidP="0040646E">
      <w:pPr>
        <w:spacing w:before="120"/>
        <w:ind w:firstLine="244"/>
        <w:jc w:val="both"/>
        <w:rPr>
          <w:sz w:val="24"/>
          <w:szCs w:val="24"/>
          <w:lang w:val="en-GB"/>
        </w:rPr>
      </w:pPr>
      <w:r>
        <w:rPr>
          <w:sz w:val="24"/>
          <w:szCs w:val="24"/>
          <w:lang w:val="en-GB"/>
        </w:rPr>
        <w:t xml:space="preserve">Two limits on this evidence should be noted, and they run in opposite directions. Treffers-Daller et al. (2022) supply frequencies, but from classroom speech. Their corpus is fifteen hours of recorded teaching by each of two university English lecturers, so the rates should not be read as rates for social media writing. AlAfnan et al. (2025) describe Malaysian usage more broadly, but their data are scripted dialogue from Malaysian television series such as </w:t>
      </w:r>
      <w:r>
        <w:rPr>
          <w:i/>
          <w:iCs/>
          <w:sz w:val="24"/>
          <w:szCs w:val="24"/>
          <w:lang w:val="en-GB"/>
        </w:rPr>
        <w:t>Kopitiam</w:t>
      </w:r>
      <w:r>
        <w:rPr>
          <w:sz w:val="24"/>
          <w:szCs w:val="24"/>
          <w:lang w:val="en-GB"/>
        </w:rPr>
        <w:t xml:space="preserve"> and </w:t>
      </w:r>
      <w:r>
        <w:rPr>
          <w:i/>
          <w:iCs/>
          <w:sz w:val="24"/>
          <w:szCs w:val="24"/>
          <w:lang w:val="en-GB"/>
        </w:rPr>
        <w:t>KL Gangster</w:t>
      </w:r>
      <w:r>
        <w:rPr>
          <w:sz w:val="24"/>
          <w:szCs w:val="24"/>
          <w:lang w:val="en-GB"/>
        </w:rPr>
        <w:t xml:space="preserve">, examined through qualitative content analysis. That study therefore reports what the particles do and not how often they occur. Neither source establishes a frequency </w:t>
      </w:r>
      <w:r>
        <w:rPr>
          <w:sz w:val="24"/>
          <w:szCs w:val="24"/>
          <w:lang w:val="en-GB"/>
        </w:rPr>
        <w:lastRenderedPageBreak/>
        <w:t>for particle use in Malaysian social media posts, and no such figure is currently available. What both sources do establish is that the construction is regular and that it carries affect.</w:t>
      </w:r>
    </w:p>
    <w:p w14:paraId="3348DACE" w14:textId="77777777" w:rsidR="0040646E" w:rsidRDefault="0040646E" w:rsidP="0040646E">
      <w:pPr>
        <w:spacing w:before="120"/>
        <w:ind w:firstLine="244"/>
        <w:jc w:val="both"/>
        <w:rPr>
          <w:sz w:val="24"/>
          <w:szCs w:val="24"/>
          <w:lang w:val="en-GB"/>
        </w:rPr>
      </w:pPr>
      <w:r>
        <w:rPr>
          <w:sz w:val="24"/>
          <w:szCs w:val="24"/>
          <w:lang w:val="en-GB"/>
        </w:rPr>
        <w:t>The consequence for annotation is that the particle fixes the tone of a message without fixing its polarity. A reader of "Don't disturb la, he's busy" can see that the particle softens the instruction. Softening is nonetheless compatible with a negative reading, in which the writer is irritated, and with a neutral one, in which the writer is being polite. Treffers-Daller et al. (2022) concede the same point about the category as a whole, observing that the specific meanings of discourse markers are often difficult to capture even where their pragmatic functions can be evaluated. The affective signal is therefore carried by a token whose contribution is real but underdetermined, and two annotators may read it differently while both reading it competently.</w:t>
      </w:r>
    </w:p>
    <w:p w14:paraId="0CFEE270" w14:textId="77777777" w:rsidR="0040646E" w:rsidRDefault="0040646E" w:rsidP="0040646E">
      <w:pPr>
        <w:spacing w:before="120"/>
        <w:ind w:firstLine="244"/>
        <w:jc w:val="both"/>
        <w:rPr>
          <w:sz w:val="24"/>
          <w:szCs w:val="24"/>
          <w:lang w:val="en-GB"/>
        </w:rPr>
      </w:pPr>
      <w:r>
        <w:rPr>
          <w:sz w:val="24"/>
          <w:szCs w:val="24"/>
          <w:lang w:val="en-GB"/>
        </w:rPr>
        <w:t>Disagreement of this type is not removed by adding annotators. Pavlick and Kwiatkowski (2019) show that where a task admits more than one defensible reading, disagreement between annotators is reproducible and persists as further ratings are collected, rather than resolving toward a single label. A corpus built by majority vote over such items therefore records the majority reading as though it were the only defensible one. The variation it conceals is systematic rather than random. An agreement coefficient computed over these items registers genuine interpretive difference and not annotator error.</w:t>
      </w:r>
    </w:p>
    <w:p w14:paraId="29418EBF" w14:textId="77777777" w:rsidR="00B30939" w:rsidRDefault="0040646E" w:rsidP="00B30939">
      <w:pPr>
        <w:spacing w:before="120"/>
        <w:ind w:firstLine="244"/>
        <w:rPr>
          <w:sz w:val="24"/>
          <w:szCs w:val="24"/>
          <w:lang w:val="en-GB"/>
        </w:rPr>
      </w:pPr>
      <w:r>
        <w:rPr>
          <w:sz w:val="24"/>
          <w:szCs w:val="24"/>
          <w:lang w:val="en-GB"/>
        </w:rPr>
        <w:t>The first property examined in this section produces disagreement about which part of a message to judge. The second produces disagreement about how to judge a part whose reading is genuinely open.</w:t>
      </w:r>
    </w:p>
    <w:p w14:paraId="530E07BB" w14:textId="77777777" w:rsidR="00B30939" w:rsidRDefault="00B30939" w:rsidP="00B30939">
      <w:pPr>
        <w:ind w:firstLine="244"/>
        <w:rPr>
          <w:sz w:val="24"/>
          <w:szCs w:val="24"/>
          <w:lang w:val="en-GB"/>
        </w:rPr>
      </w:pPr>
    </w:p>
    <w:p w14:paraId="5C4B82AC" w14:textId="77777777" w:rsidR="00680263" w:rsidRPr="0040646E" w:rsidRDefault="00C127AD" w:rsidP="00B30939">
      <w:pPr>
        <w:jc w:val="both"/>
        <w:rPr>
          <w:b/>
          <w:bCs/>
          <w:szCs w:val="24"/>
          <w:lang w:val="en-GB"/>
        </w:rPr>
      </w:pPr>
      <w:r>
        <w:rPr>
          <w:b/>
          <w:bCs/>
          <w:sz w:val="24"/>
          <w:szCs w:val="24"/>
        </w:rPr>
        <w:t xml:space="preserve">2.3 </w:t>
      </w:r>
      <w:r>
        <w:rPr>
          <w:b/>
          <w:bCs/>
          <w:sz w:val="24"/>
          <w:szCs w:val="24"/>
          <w:lang w:val="en-GB"/>
        </w:rPr>
        <w:t>Phonetic spelling multiplies the surface forms of a single word</w:t>
      </w:r>
    </w:p>
    <w:p w14:paraId="57E0F658" w14:textId="77777777" w:rsidR="00680263" w:rsidRDefault="00680263" w:rsidP="00680263">
      <w:pPr>
        <w:spacing w:before="120"/>
        <w:ind w:firstLine="244"/>
        <w:jc w:val="both"/>
        <w:rPr>
          <w:sz w:val="24"/>
          <w:szCs w:val="24"/>
          <w:lang w:val="en-GB"/>
        </w:rPr>
      </w:pPr>
      <w:r>
        <w:rPr>
          <w:sz w:val="24"/>
          <w:szCs w:val="24"/>
          <w:lang w:val="en-GB"/>
        </w:rPr>
        <w:t>The first two properties concern where the sentiment is and how it is to be read. The third concerns whether the words carrying it can be recognised at all. Malaysian users spell phonetically rather than to a dictionary standard, so a single word appears in many written forms. Maskat and Rahman (2020) provide a formal categorisation of this variation for Malay. Working from a corpus of 6,241 Twitter posts collected between 2014 and 2018, they sort what they call Social Media Malay Language into five categories. The five are spelling variants, Malay-English mixed sentences, loan words written with Malay phonology, slang-based spellings, and vowel-less words.</w:t>
      </w:r>
    </w:p>
    <w:p w14:paraId="6C578374" w14:textId="77777777" w:rsidR="00680263" w:rsidRDefault="00680263" w:rsidP="00680263">
      <w:pPr>
        <w:spacing w:before="120"/>
        <w:ind w:firstLine="244"/>
        <w:jc w:val="both"/>
        <w:rPr>
          <w:sz w:val="24"/>
          <w:szCs w:val="24"/>
          <w:lang w:val="en-GB"/>
        </w:rPr>
      </w:pPr>
      <w:r>
        <w:rPr>
          <w:sz w:val="24"/>
          <w:szCs w:val="24"/>
          <w:lang w:val="en-GB"/>
        </w:rPr>
        <w:t xml:space="preserve">The variation within each category is wide. </w:t>
      </w:r>
      <w:r>
        <w:rPr>
          <w:sz w:val="24"/>
          <w:szCs w:val="24"/>
        </w:rPr>
        <w:t xml:space="preserve">Among the spelling variants Maskat and Rahman (2020) record, </w:t>
      </w:r>
      <w:r>
        <w:rPr>
          <w:i/>
          <w:iCs/>
          <w:sz w:val="24"/>
          <w:szCs w:val="24"/>
        </w:rPr>
        <w:t>macam mana</w:t>
      </w:r>
      <w:r>
        <w:rPr>
          <w:sz w:val="24"/>
          <w:szCs w:val="24"/>
        </w:rPr>
        <w:t xml:space="preserve"> appears as </w:t>
      </w:r>
      <w:r>
        <w:rPr>
          <w:i/>
          <w:iCs/>
          <w:sz w:val="24"/>
          <w:szCs w:val="24"/>
        </w:rPr>
        <w:t>mcmana</w:t>
      </w:r>
      <w:r>
        <w:rPr>
          <w:sz w:val="24"/>
          <w:szCs w:val="24"/>
        </w:rPr>
        <w:t xml:space="preserve">, </w:t>
      </w:r>
      <w:r>
        <w:rPr>
          <w:i/>
          <w:iCs/>
          <w:sz w:val="24"/>
          <w:szCs w:val="24"/>
        </w:rPr>
        <w:t>camne</w:t>
      </w:r>
      <w:r>
        <w:rPr>
          <w:sz w:val="24"/>
          <w:szCs w:val="24"/>
        </w:rPr>
        <w:t xml:space="preserve">, </w:t>
      </w:r>
      <w:r>
        <w:rPr>
          <w:i/>
          <w:iCs/>
          <w:sz w:val="24"/>
          <w:szCs w:val="24"/>
        </w:rPr>
        <w:t>camner</w:t>
      </w:r>
      <w:r>
        <w:rPr>
          <w:sz w:val="24"/>
          <w:szCs w:val="24"/>
        </w:rPr>
        <w:t xml:space="preserve">, </w:t>
      </w:r>
      <w:r>
        <w:rPr>
          <w:i/>
          <w:iCs/>
          <w:sz w:val="24"/>
          <w:szCs w:val="24"/>
        </w:rPr>
        <w:t>mcmner</w:t>
      </w:r>
      <w:r>
        <w:rPr>
          <w:sz w:val="24"/>
          <w:szCs w:val="24"/>
        </w:rPr>
        <w:t xml:space="preserve"> and </w:t>
      </w:r>
      <w:r>
        <w:rPr>
          <w:i/>
          <w:iCs/>
          <w:sz w:val="24"/>
          <w:szCs w:val="24"/>
        </w:rPr>
        <w:t>cane</w:t>
      </w:r>
      <w:r>
        <w:rPr>
          <w:sz w:val="24"/>
          <w:szCs w:val="24"/>
        </w:rPr>
        <w:t xml:space="preserve">. The vowel-less category reduces a word to consonants or to a single character, so </w:t>
      </w:r>
      <w:r>
        <w:rPr>
          <w:i/>
          <w:iCs/>
          <w:sz w:val="24"/>
          <w:szCs w:val="24"/>
        </w:rPr>
        <w:t>jangan</w:t>
      </w:r>
      <w:r>
        <w:rPr>
          <w:sz w:val="24"/>
          <w:szCs w:val="24"/>
        </w:rPr>
        <w:t xml:space="preserve"> is written </w:t>
      </w:r>
      <w:r>
        <w:rPr>
          <w:i/>
          <w:iCs/>
          <w:sz w:val="24"/>
          <w:szCs w:val="24"/>
        </w:rPr>
        <w:t>jgn</w:t>
      </w:r>
      <w:r>
        <w:rPr>
          <w:sz w:val="24"/>
          <w:szCs w:val="24"/>
        </w:rPr>
        <w:t xml:space="preserve"> and </w:t>
      </w:r>
      <w:r>
        <w:rPr>
          <w:i/>
          <w:iCs/>
          <w:sz w:val="24"/>
          <w:szCs w:val="24"/>
        </w:rPr>
        <w:t>pada</w:t>
      </w:r>
      <w:r>
        <w:rPr>
          <w:sz w:val="24"/>
          <w:szCs w:val="24"/>
        </w:rPr>
        <w:t xml:space="preserve"> is written </w:t>
      </w:r>
      <w:r>
        <w:rPr>
          <w:i/>
          <w:iCs/>
          <w:sz w:val="24"/>
          <w:szCs w:val="24"/>
        </w:rPr>
        <w:t>pd</w:t>
      </w:r>
      <w:r>
        <w:rPr>
          <w:sz w:val="24"/>
          <w:szCs w:val="24"/>
        </w:rPr>
        <w:t xml:space="preserve">. </w:t>
      </w:r>
      <w:r>
        <w:rPr>
          <w:sz w:val="24"/>
          <w:szCs w:val="24"/>
          <w:lang w:val="en-GB"/>
        </w:rPr>
        <w:t xml:space="preserve">The slang category adds a regional layer, with </w:t>
      </w:r>
      <w:r>
        <w:rPr>
          <w:i/>
          <w:iCs/>
          <w:sz w:val="24"/>
          <w:szCs w:val="24"/>
          <w:lang w:val="en-GB"/>
        </w:rPr>
        <w:t>besar</w:t>
      </w:r>
      <w:r>
        <w:rPr>
          <w:sz w:val="24"/>
          <w:szCs w:val="24"/>
          <w:lang w:val="en-GB"/>
        </w:rPr>
        <w:t xml:space="preserve"> written </w:t>
      </w:r>
      <w:r>
        <w:rPr>
          <w:i/>
          <w:iCs/>
          <w:sz w:val="24"/>
          <w:szCs w:val="24"/>
          <w:lang w:val="en-GB"/>
        </w:rPr>
        <w:t>besaq</w:t>
      </w:r>
      <w:r>
        <w:rPr>
          <w:sz w:val="24"/>
          <w:szCs w:val="24"/>
          <w:lang w:val="en-GB"/>
        </w:rPr>
        <w:t xml:space="preserve"> in the north and </w:t>
      </w:r>
      <w:r>
        <w:rPr>
          <w:i/>
          <w:iCs/>
          <w:sz w:val="24"/>
          <w:szCs w:val="24"/>
          <w:lang w:val="en-GB"/>
        </w:rPr>
        <w:t>beso</w:t>
      </w:r>
      <w:r>
        <w:rPr>
          <w:sz w:val="24"/>
          <w:szCs w:val="24"/>
          <w:lang w:val="en-GB"/>
        </w:rPr>
        <w:t xml:space="preserve"> on the east coast. The categories also combine, and the same study gives </w:t>
      </w:r>
      <w:r>
        <w:rPr>
          <w:i/>
          <w:iCs/>
          <w:sz w:val="24"/>
          <w:szCs w:val="24"/>
          <w:lang w:val="en-GB"/>
        </w:rPr>
        <w:t>x suko</w:t>
      </w:r>
      <w:r>
        <w:rPr>
          <w:sz w:val="24"/>
          <w:szCs w:val="24"/>
          <w:lang w:val="en-GB"/>
        </w:rPr>
        <w:t xml:space="preserve"> as a form drawing on the slang and vowel-less categories at once.</w:t>
      </w:r>
    </w:p>
    <w:p w14:paraId="745AF226" w14:textId="77777777" w:rsidR="00680263" w:rsidRDefault="00680263" w:rsidP="00680263">
      <w:pPr>
        <w:spacing w:before="120"/>
        <w:ind w:firstLine="244"/>
        <w:jc w:val="both"/>
        <w:rPr>
          <w:sz w:val="24"/>
          <w:szCs w:val="24"/>
          <w:lang w:val="en-GB"/>
        </w:rPr>
      </w:pPr>
      <w:r>
        <w:rPr>
          <w:sz w:val="24"/>
          <w:szCs w:val="24"/>
          <w:lang w:val="en-GB"/>
        </w:rPr>
        <w:t xml:space="preserve">Whether this variation can be undone automatically is the question that matters for annotation, and Maskat and Rahman (2020) tested it directly. They attempted to normalise two of the five categories, spelling variants and vowel-less words, using n-gram similarity indices and Levenshtein distance. Their benchmark was a ground </w:t>
      </w:r>
      <w:r>
        <w:rPr>
          <w:sz w:val="24"/>
          <w:szCs w:val="24"/>
          <w:lang w:val="en-GB"/>
        </w:rPr>
        <w:lastRenderedPageBreak/>
        <w:t>truth of 1,176 similar-word pairs covering 435 unique words, identified by hand by a native Malay speaker. Measured against that benchmark, the highest precision reported for any configuration is 0.43, and most configurations fall well below it. The authors conclude that similarity matching can detect the two categories but that a more sophisticated technique is needed, and they state that normalisation of the remaining three categories is open for future research.</w:t>
      </w:r>
    </w:p>
    <w:p w14:paraId="60088321" w14:textId="77777777" w:rsidR="00680263" w:rsidRDefault="00680263" w:rsidP="00680263">
      <w:pPr>
        <w:spacing w:before="120"/>
        <w:ind w:firstLine="244"/>
        <w:jc w:val="both"/>
        <w:rPr>
          <w:sz w:val="24"/>
          <w:szCs w:val="24"/>
          <w:lang w:val="en-GB"/>
        </w:rPr>
      </w:pPr>
      <w:r>
        <w:rPr>
          <w:sz w:val="24"/>
          <w:szCs w:val="24"/>
          <w:lang w:val="en-GB"/>
        </w:rPr>
        <w:t>Two limits on this evidence should be noted. Only Selangor slang was handled, so the slang category is represented more narrowly than the regional range the same paper describes. More consequentially for this review, English words were removed before the experiment and code-mixed posts were excluded from the evaluation subsets. The reported precision is therefore a measurement on Malay text with the English stripped out, not on Malay-English mixed text, and no equivalent measurement for the mixed case is available.</w:t>
      </w:r>
    </w:p>
    <w:p w14:paraId="419B7569" w14:textId="77777777" w:rsidR="00CC05FA" w:rsidRDefault="00CC05FA" w:rsidP="00CC05FA">
      <w:pPr>
        <w:spacing w:before="120"/>
        <w:ind w:firstLine="244"/>
        <w:jc w:val="both"/>
        <w:rPr>
          <w:sz w:val="24"/>
          <w:szCs w:val="24"/>
          <w:lang w:val="en-GB"/>
        </w:rPr>
      </w:pPr>
      <w:r>
        <w:rPr>
          <w:sz w:val="24"/>
          <w:szCs w:val="24"/>
          <w:lang w:val="en-GB"/>
        </w:rPr>
        <w:t xml:space="preserve">The consequence for annotation is an asymmetry between the two types of annotator, and it is visible inside the study just described. A single native speaker recovered 1,176 word pairs by hand, reliably enough for the result to serve as ground truth. Automated matching against that same ground truth reached a highest precision of 0.43. A human reader recovers </w:t>
      </w:r>
      <w:r>
        <w:rPr>
          <w:i/>
          <w:iCs/>
          <w:sz w:val="24"/>
          <w:szCs w:val="24"/>
          <w:lang w:val="en-GB"/>
        </w:rPr>
        <w:t>x</w:t>
      </w:r>
      <w:r>
        <w:rPr>
          <w:sz w:val="24"/>
          <w:szCs w:val="24"/>
          <w:lang w:val="en-GB"/>
        </w:rPr>
        <w:t xml:space="preserve"> as </w:t>
      </w:r>
      <w:r>
        <w:rPr>
          <w:i/>
          <w:iCs/>
          <w:sz w:val="24"/>
          <w:szCs w:val="24"/>
          <w:lang w:val="en-GB"/>
        </w:rPr>
        <w:t>tidak</w:t>
      </w:r>
      <w:r>
        <w:rPr>
          <w:sz w:val="24"/>
          <w:szCs w:val="24"/>
          <w:lang w:val="en-GB"/>
        </w:rPr>
        <w:t xml:space="preserve"> without effort. The automatic procedure largely does not. The two types of annotator therefore do not fail on the same inputs, and they do not fail at the same rate.</w:t>
      </w:r>
    </w:p>
    <w:p w14:paraId="03F4109E" w14:textId="77777777" w:rsidR="00CC05FA" w:rsidRPr="00CC05FA" w:rsidRDefault="00CC05FA" w:rsidP="00CC05FA">
      <w:pPr>
        <w:spacing w:before="120"/>
        <w:ind w:firstLine="244"/>
        <w:jc w:val="both"/>
        <w:rPr>
          <w:sz w:val="24"/>
          <w:szCs w:val="24"/>
          <w:lang w:val="en-GB"/>
        </w:rPr>
      </w:pPr>
      <w:r>
        <w:rPr>
          <w:sz w:val="24"/>
          <w:szCs w:val="24"/>
          <w:lang w:val="en-GB"/>
        </w:rPr>
        <w:t>That asymmetry changes what the choice of annotator is. If human and automatic annotation differed only in cost and speed, the choice would be a matter of budget. Because they fail on different inputs, the choice determines which errors a corpus will contain, and a corpus labelled entirely by one type carries that type's systematic weakness throughout.</w:t>
      </w:r>
    </w:p>
    <w:p w14:paraId="452E3E36" w14:textId="77777777" w:rsidR="007F0036" w:rsidRDefault="00CC05FA" w:rsidP="007F0036">
      <w:pPr>
        <w:spacing w:before="120"/>
        <w:ind w:firstLine="244"/>
        <w:jc w:val="both"/>
        <w:rPr>
          <w:sz w:val="24"/>
          <w:szCs w:val="24"/>
          <w:lang w:val="en-GB"/>
        </w:rPr>
      </w:pPr>
      <w:r>
        <w:rPr>
          <w:sz w:val="24"/>
          <w:szCs w:val="24"/>
          <w:lang w:val="en-GB"/>
        </w:rPr>
        <w:t>The three properties examined in this section therefore place three distinct demands on annotation. The first makes the opinion-bearing span difficult to locate. The second leaves its reading underdetermined once located. The third makes the tokens themselves unrecoverable to an automatic annotator while they remain transparent to a human one. Section 3 examines the annotation strategies used in response, and the trade-offs each one accepts.</w:t>
      </w:r>
    </w:p>
    <w:p w14:paraId="1A157C08" w14:textId="77777777" w:rsidR="007F0036" w:rsidRDefault="007F0036" w:rsidP="00B30939">
      <w:pPr>
        <w:ind w:firstLine="244"/>
        <w:jc w:val="both"/>
        <w:rPr>
          <w:sz w:val="24"/>
          <w:szCs w:val="24"/>
          <w:lang w:val="en-GB"/>
        </w:rPr>
      </w:pPr>
    </w:p>
    <w:p w14:paraId="4543ED49" w14:textId="77777777" w:rsidR="007F0036" w:rsidRPr="006546A0" w:rsidRDefault="00C127AD" w:rsidP="007F0036">
      <w:pPr>
        <w:tabs>
          <w:tab w:val="left" w:pos="24"/>
        </w:tabs>
        <w:jc w:val="both"/>
        <w:rPr>
          <w:b/>
          <w:sz w:val="26"/>
          <w:szCs w:val="26"/>
        </w:rPr>
      </w:pPr>
      <w:r>
        <w:rPr>
          <w:b/>
          <w:sz w:val="26"/>
          <w:szCs w:val="26"/>
        </w:rPr>
        <w:t>3. Annotation Practice and Its Failure Modes</w:t>
      </w:r>
    </w:p>
    <w:p w14:paraId="59F2F411" w14:textId="77777777" w:rsidR="007F0036" w:rsidRPr="007F0036" w:rsidRDefault="007F0036" w:rsidP="007F0036">
      <w:pPr>
        <w:spacing w:before="120"/>
        <w:ind w:firstLine="244"/>
        <w:jc w:val="both"/>
        <w:rPr>
          <w:sz w:val="24"/>
          <w:szCs w:val="24"/>
          <w:lang w:val="en-GB"/>
        </w:rPr>
      </w:pPr>
      <w:r>
        <w:rPr>
          <w:sz w:val="24"/>
          <w:szCs w:val="24"/>
          <w:lang w:val="en-GB"/>
        </w:rPr>
        <w:t xml:space="preserve">Section 2 described what makes Malaysian code-mixed text hard to label. This section examines what has been done about it. The strategies reported in the reviewed studies are set out first, arranged by the trade-off each one accepts. The distribution of labels they produce is examined next, and the practice of pooling several annotators is examined last, because it is the remedy most often proposed, and the one the regional evidence tests most directly </w:t>
      </w:r>
      <w:r>
        <w:rPr>
          <w:sz w:val="24"/>
          <w:szCs w:val="24"/>
        </w:rPr>
        <w:t>(Artstein and Poesio, 2008; Uma et al., 2021)</w:t>
      </w:r>
      <w:r>
        <w:rPr>
          <w:sz w:val="24"/>
          <w:szCs w:val="24"/>
          <w:lang w:val="en-GB"/>
        </w:rPr>
        <w:t>.</w:t>
      </w:r>
    </w:p>
    <w:p w14:paraId="588A1541" w14:textId="77777777" w:rsidR="007F0036" w:rsidRPr="007F0036" w:rsidRDefault="00C127AD" w:rsidP="007F0036">
      <w:pPr>
        <w:spacing w:before="120"/>
        <w:jc w:val="both"/>
        <w:rPr>
          <w:b/>
          <w:bCs/>
          <w:sz w:val="24"/>
          <w:szCs w:val="24"/>
          <w:lang w:val="en-GB"/>
        </w:rPr>
      </w:pPr>
      <w:r>
        <w:rPr>
          <w:b/>
          <w:bCs/>
          <w:sz w:val="24"/>
          <w:szCs w:val="24"/>
          <w:lang w:val="en-GB"/>
        </w:rPr>
        <w:t>3.1 Annotation strategies and the fidelity-scalability trade-off</w:t>
      </w:r>
    </w:p>
    <w:p w14:paraId="445E39BA" w14:textId="77777777" w:rsidR="005D60CA" w:rsidRDefault="007F0036" w:rsidP="007F0036">
      <w:pPr>
        <w:spacing w:before="120"/>
        <w:ind w:firstLine="244"/>
        <w:jc w:val="both"/>
        <w:rPr>
          <w:sz w:val="24"/>
          <w:szCs w:val="24"/>
        </w:rPr>
      </w:pPr>
      <w:r>
        <w:rPr>
          <w:sz w:val="24"/>
          <w:szCs w:val="24"/>
          <w:lang w:val="en-GB"/>
        </w:rPr>
        <w:t xml:space="preserve">For low-resource code-mixed text, label fidelity and scale are in tension. A corpus can be labelled carefully or it can be labelled in volume. </w:t>
      </w:r>
      <w:r>
        <w:rPr>
          <w:sz w:val="24"/>
          <w:szCs w:val="24"/>
        </w:rPr>
        <w:t>The strategies reported by the studies reviewed here are best read not as competing solutions to one problem</w:t>
      </w:r>
      <w:r>
        <w:rPr>
          <w:sz w:val="24"/>
          <w:szCs w:val="24"/>
          <w:lang w:val="en-GB"/>
        </w:rPr>
        <w:t xml:space="preserve">, </w:t>
      </w:r>
      <w:r>
        <w:rPr>
          <w:sz w:val="24"/>
          <w:szCs w:val="24"/>
          <w:lang w:val="en-GB"/>
        </w:rPr>
        <w:lastRenderedPageBreak/>
        <w:t xml:space="preserve">but as different decisions about which of the two to sacrifice. </w:t>
      </w:r>
      <w:r>
        <w:rPr>
          <w:sz w:val="24"/>
          <w:szCs w:val="24"/>
        </w:rPr>
        <w:t xml:space="preserve">On that reading, the strategies fall into three tiers: manual annotation, semi-automated annotation, and fully automated generative annotation. </w:t>
      </w:r>
    </w:p>
    <w:p w14:paraId="6DD9699D" w14:textId="77777777" w:rsidR="007F0036" w:rsidRPr="007F0036" w:rsidRDefault="007F0036" w:rsidP="007F0036">
      <w:pPr>
        <w:spacing w:before="120"/>
        <w:ind w:firstLine="244"/>
        <w:jc w:val="both"/>
        <w:rPr>
          <w:sz w:val="24"/>
          <w:szCs w:val="24"/>
          <w:lang w:val="en-GB"/>
        </w:rPr>
      </w:pPr>
      <w:r>
        <w:rPr>
          <w:sz w:val="24"/>
          <w:szCs w:val="24"/>
          <w:lang w:val="en-GB"/>
        </w:rPr>
        <w:t>The first tier is manual annotation by people. Two of the four regional corpora were built this way, and they are the only two whose labels come from human judgement. Kasmuri and Basiron (2019) drew 5,849 sentences from 23 personal blogs, selected 4,191 for annotation, and retained 2,316 in the finished corpus, reporting κ = 0.83 for the judgement of whether a sentence was opinionated or factual. Kong et al. (2023) collected 108,246 tweets and manually annotated 11,568 of them into three sentiment classes, using three independent annotators working from a written guideline. What both illustrate is the cost of the decision rather than a defect in the method. Kasmuri and Basiron kept 40% of the sentences they started with, and Kong et al. labelled 11% of what they collected. The labour that produces reliable labels is the same labour that prevents either corpus from reaching the scale a general-purpose Manglish resource would require.</w:t>
      </w:r>
    </w:p>
    <w:p w14:paraId="48B58C18" w14:textId="77777777" w:rsidR="007F0036" w:rsidRPr="00E10A8D" w:rsidRDefault="007F0036" w:rsidP="00E10A8D">
      <w:pPr>
        <w:spacing w:before="120"/>
        <w:ind w:firstLine="244"/>
        <w:jc w:val="both"/>
        <w:rPr>
          <w:lang w:val="en-GB"/>
        </w:rPr>
      </w:pPr>
      <w:r>
        <w:rPr>
          <w:sz w:val="24"/>
          <w:szCs w:val="24"/>
          <w:lang w:val="en-GB"/>
        </w:rPr>
        <w:t>The second tier is semi-automated annotation, which trades in the opposite direction by using existing tools to label at volume and accepting the tools' limitations as the price. Mohd Shamsuddin et al. (2024) built MESocSentiment this way. They collected 229,566 tweets carrying the "#Malaysia" keyword, reduced the set to 138,646 in pre-processing, applied the Malaya and Lingua libraries to identify code-switched posts, and arrived at 20,226 tweets. Sentiment labels were then assigned by majority vote among three existing analysers. The authors state the motivation plainly. The language identification libraries "reduced the need to find fluent speakers in Malay and English to classify the tweets". The reasoning is defensible, and there is evidence from other labelling tasks that automated annotators can match or exceed human crowd workers (Gilardi et al., 2023). What the tier concedes is that the labels can be no more competent than the tools producing them, and inherit whatever those tools cannot read.</w:t>
      </w:r>
    </w:p>
    <w:p w14:paraId="77CC4976" w14:textId="77777777" w:rsidR="00835475" w:rsidRDefault="007F0036" w:rsidP="00EC3247">
      <w:pPr>
        <w:spacing w:before="120"/>
        <w:ind w:firstLine="244"/>
        <w:jc w:val="both"/>
        <w:rPr>
          <w:b/>
          <w:bCs/>
          <w:sz w:val="24"/>
          <w:szCs w:val="24"/>
          <w:lang w:val="en-GB"/>
        </w:rPr>
      </w:pPr>
      <w:r>
        <w:rPr>
          <w:sz w:val="24"/>
          <w:szCs w:val="24"/>
          <w:lang w:val="en-GB"/>
        </w:rPr>
        <w:t xml:space="preserve">The third tier replaces those tools with generative models used directly as annotators. Because a generative model is not restricted to a fixed vocabulary, it can in principle interpret an unfamiliar spelling or an unseen slang term from context, which is the capability the second tier lacks. In principle this dissolves the trade-off. The peer-reviewed evidence does not yet support that reading. </w:t>
      </w:r>
      <w:r>
        <w:rPr>
          <w:sz w:val="24"/>
          <w:szCs w:val="24"/>
        </w:rPr>
        <w:t xml:space="preserve">Jadhav et al. (2025) evaluated generative annotators on Marathi, an Indo-Aryan language of western India, across four tasks: sentiment analysis, two-class hate speech detection, four-class hate speech detection, and news classification. </w:t>
      </w:r>
      <w:r>
        <w:rPr>
          <w:sz w:val="24"/>
          <w:szCs w:val="24"/>
          <w:lang w:val="en-GB"/>
        </w:rPr>
        <w:t xml:space="preserve">They found </w:t>
      </w:r>
      <w:r>
        <w:rPr>
          <w:sz w:val="24"/>
          <w:szCs w:val="24"/>
        </w:rPr>
        <w:t xml:space="preserve">two generative large language models, GPT-4o and Llama 3.1 405B, </w:t>
      </w:r>
      <w:r>
        <w:rPr>
          <w:sz w:val="24"/>
          <w:szCs w:val="24"/>
          <w:lang w:val="en-GB"/>
        </w:rPr>
        <w:t xml:space="preserve">trailing </w:t>
      </w:r>
      <w:r>
        <w:rPr>
          <w:sz w:val="24"/>
          <w:szCs w:val="24"/>
        </w:rPr>
        <w:t xml:space="preserve">a fine-tuned BERT baseline </w:t>
      </w:r>
      <w:r>
        <w:rPr>
          <w:sz w:val="24"/>
          <w:szCs w:val="24"/>
          <w:lang w:val="en-GB"/>
        </w:rPr>
        <w:t xml:space="preserve">by average accuracy margins of 10.2% and 14.1% respectively. </w:t>
      </w:r>
      <w:r>
        <w:rPr>
          <w:sz w:val="24"/>
          <w:szCs w:val="24"/>
        </w:rPr>
        <w:t>BERT is a bidirectional transformer encoder pre-trained on unlabelled text.</w:t>
      </w:r>
      <w:r>
        <w:rPr>
          <w:sz w:val="24"/>
          <w:szCs w:val="24"/>
          <w:lang w:val="en-GB"/>
        </w:rPr>
        <w:t xml:space="preserve"> They conclude that fine-tuned transformers remain necessary where linguistic resources are scarce. Marathi is morphologically rich where Malay is not, so the result bounds the tier's promise rather than measuring it in this setting. That it is the only peer-reviewed study of the question available to this review is itself part of the finding. The third tier is the least evidenced of the three, and </w:t>
      </w:r>
      <w:r>
        <w:rPr>
          <w:sz w:val="24"/>
          <w:szCs w:val="24"/>
        </w:rPr>
        <w:t>no study examined here evaluates generative annotation on Malaysian code-mixed text.</w:t>
      </w:r>
    </w:p>
    <w:p w14:paraId="732B1E6A" w14:textId="77777777" w:rsidR="007F0036" w:rsidRPr="00ED77BD" w:rsidRDefault="007F0036" w:rsidP="00ED77BD">
      <w:pPr>
        <w:spacing w:before="120"/>
        <w:ind w:firstLine="244"/>
        <w:jc w:val="center"/>
        <w:rPr>
          <w:b/>
          <w:bCs/>
          <w:sz w:val="24"/>
          <w:szCs w:val="24"/>
          <w:lang w:val="en-GB"/>
        </w:rPr>
      </w:pPr>
      <w:r>
        <w:rPr>
          <w:b/>
          <w:bCs/>
          <w:sz w:val="24"/>
          <w:szCs w:val="24"/>
          <w:lang w:val="en-GB"/>
        </w:rPr>
        <w:lastRenderedPageBreak/>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0FB42E8D" w14:textId="77777777" w:rsidTr="008C0BA5">
        <w:trPr>
          <w:jc w:val="center"/>
        </w:trPr>
        <w:tc>
          <w:tcPr>
            <w:tcW w:w="1656" w:type="dxa"/>
            <w:shd w:val="clear" w:color="auto" w:fill="4BACC6"/>
            <w:vAlign w:val="center"/>
          </w:tcPr>
          <w:p w14:paraId="583AADBC" w14:textId="77777777" w:rsidR="007F0036" w:rsidRDefault="007F0036" w:rsidP="007F0036">
            <w:pPr>
              <w:tabs>
                <w:tab w:val="left" w:pos="24"/>
              </w:tabs>
              <w:jc w:val="both"/>
              <w:rPr>
                <w:b/>
                <w:color w:val="FFFFFF"/>
                <w:sz w:val="24"/>
                <w:szCs w:val="24"/>
              </w:rPr>
            </w:pPr>
            <w:r>
              <w:rPr>
                <w:b/>
                <w:bCs/>
                <w:sz w:val="24"/>
                <w:szCs w:val="24"/>
                <w:lang w:val="en-GB"/>
              </w:rPr>
              <w:t>Tier</w:t>
            </w:r>
          </w:p>
        </w:tc>
        <w:tc>
          <w:tcPr>
            <w:tcW w:w="1417" w:type="dxa"/>
            <w:shd w:val="clear" w:color="auto" w:fill="4BACC6"/>
            <w:vAlign w:val="center"/>
          </w:tcPr>
          <w:p w14:paraId="5E27EE6B" w14:textId="77777777" w:rsidR="007F0036" w:rsidRDefault="007F0036" w:rsidP="007F0036">
            <w:pPr>
              <w:tabs>
                <w:tab w:val="left" w:pos="24"/>
              </w:tabs>
              <w:jc w:val="both"/>
              <w:rPr>
                <w:b/>
                <w:color w:val="FFFFFF"/>
                <w:sz w:val="24"/>
                <w:szCs w:val="24"/>
              </w:rPr>
            </w:pPr>
            <w:r>
              <w:rPr>
                <w:b/>
                <w:bCs/>
                <w:sz w:val="24"/>
                <w:szCs w:val="24"/>
                <w:lang w:val="en-GB"/>
              </w:rPr>
              <w:t>Regional example</w:t>
            </w:r>
          </w:p>
        </w:tc>
        <w:tc>
          <w:tcPr>
            <w:tcW w:w="1600" w:type="dxa"/>
            <w:shd w:val="clear" w:color="auto" w:fill="4BACC6"/>
            <w:vAlign w:val="center"/>
          </w:tcPr>
          <w:p w14:paraId="3CF27901" w14:textId="77777777" w:rsidR="007F0036" w:rsidRDefault="007F0036" w:rsidP="007F0036">
            <w:pPr>
              <w:tabs>
                <w:tab w:val="left" w:pos="24"/>
              </w:tabs>
              <w:jc w:val="both"/>
              <w:rPr>
                <w:b/>
                <w:color w:val="FFFFFF"/>
                <w:sz w:val="24"/>
                <w:szCs w:val="24"/>
              </w:rPr>
            </w:pPr>
            <w:r>
              <w:rPr>
                <w:b/>
                <w:bCs/>
                <w:sz w:val="24"/>
                <w:szCs w:val="24"/>
                <w:lang w:val="en-GB"/>
              </w:rPr>
              <w:t>Scale achieved</w:t>
            </w:r>
          </w:p>
        </w:tc>
        <w:tc>
          <w:tcPr>
            <w:tcW w:w="1843" w:type="dxa"/>
            <w:shd w:val="clear" w:color="auto" w:fill="4BACC6"/>
            <w:vAlign w:val="center"/>
          </w:tcPr>
          <w:p w14:paraId="3D18F80D" w14:textId="77777777" w:rsidR="007F0036" w:rsidRDefault="007F0036" w:rsidP="007F0036">
            <w:pPr>
              <w:tabs>
                <w:tab w:val="left" w:pos="24"/>
              </w:tabs>
              <w:jc w:val="both"/>
              <w:rPr>
                <w:b/>
                <w:color w:val="FFFFFF"/>
                <w:sz w:val="24"/>
                <w:szCs w:val="24"/>
              </w:rPr>
            </w:pPr>
            <w:r>
              <w:rPr>
                <w:b/>
                <w:bCs/>
                <w:sz w:val="24"/>
                <w:szCs w:val="24"/>
                <w:lang w:val="en-GB"/>
              </w:rPr>
              <w:t>Evidence of fidelity</w:t>
            </w:r>
          </w:p>
        </w:tc>
        <w:tc>
          <w:tcPr>
            <w:tcW w:w="2551" w:type="dxa"/>
            <w:shd w:val="clear" w:color="auto" w:fill="4BACC6"/>
            <w:vAlign w:val="center"/>
          </w:tcPr>
          <w:p w14:paraId="01F0D8A7" w14:textId="77777777" w:rsidR="007F0036" w:rsidRDefault="007F0036" w:rsidP="007F0036">
            <w:pPr>
              <w:tabs>
                <w:tab w:val="left" w:pos="24"/>
              </w:tabs>
              <w:jc w:val="both"/>
              <w:rPr>
                <w:b/>
                <w:color w:val="FFFFFF"/>
                <w:sz w:val="24"/>
                <w:szCs w:val="24"/>
              </w:rPr>
            </w:pPr>
            <w:r>
              <w:rPr>
                <w:b/>
                <w:bCs/>
                <w:sz w:val="24"/>
                <w:szCs w:val="24"/>
                <w:lang w:val="en-GB"/>
              </w:rPr>
              <w:t>What is conceded</w:t>
            </w:r>
          </w:p>
        </w:tc>
      </w:tr>
      <w:tr w:rsidR="007F0036" w14:paraId="05613CBB" w14:textId="77777777" w:rsidTr="008C0BA5">
        <w:trPr>
          <w:cantSplit/>
          <w:jc w:val="center"/>
        </w:trPr>
        <w:tc>
          <w:tcPr>
            <w:tcW w:w="1656" w:type="dxa"/>
            <w:shd w:val="clear" w:color="auto" w:fill="4BACC6"/>
            <w:vAlign w:val="center"/>
          </w:tcPr>
          <w:p w14:paraId="0E6A8D54" w14:textId="77777777" w:rsidR="007F0036" w:rsidRDefault="007F0036" w:rsidP="007F0036">
            <w:pPr>
              <w:tabs>
                <w:tab w:val="left" w:pos="24"/>
              </w:tabs>
              <w:jc w:val="both"/>
              <w:rPr>
                <w:b/>
                <w:color w:val="FFFFFF"/>
                <w:sz w:val="24"/>
                <w:szCs w:val="24"/>
              </w:rPr>
            </w:pPr>
            <w:r>
              <w:rPr>
                <w:sz w:val="24"/>
                <w:szCs w:val="24"/>
                <w:lang w:val="en-GB"/>
              </w:rPr>
              <w:t>Manual</w:t>
            </w:r>
          </w:p>
        </w:tc>
        <w:tc>
          <w:tcPr>
            <w:tcW w:w="1417" w:type="dxa"/>
            <w:shd w:val="clear" w:color="auto" w:fill="D8D8D8"/>
            <w:vAlign w:val="center"/>
          </w:tcPr>
          <w:p w14:paraId="28BC792D" w14:textId="77777777" w:rsidR="007F0036" w:rsidRDefault="007F0036" w:rsidP="007F0036">
            <w:pPr>
              <w:tabs>
                <w:tab w:val="left" w:pos="24"/>
              </w:tabs>
              <w:jc w:val="both"/>
              <w:rPr>
                <w:sz w:val="24"/>
                <w:szCs w:val="24"/>
              </w:rPr>
            </w:pPr>
            <w:r>
              <w:rPr>
                <w:sz w:val="24"/>
                <w:szCs w:val="24"/>
                <w:lang w:val="en-GB"/>
              </w:rPr>
              <w:t>Kasmuri and Basiron (2019)</w:t>
            </w:r>
          </w:p>
        </w:tc>
        <w:tc>
          <w:tcPr>
            <w:tcW w:w="1600" w:type="dxa"/>
            <w:shd w:val="clear" w:color="auto" w:fill="D8D8D8"/>
            <w:vAlign w:val="center"/>
          </w:tcPr>
          <w:p w14:paraId="61818CE3" w14:textId="77777777" w:rsidR="007F0036" w:rsidRDefault="007F0036" w:rsidP="007F0036">
            <w:pPr>
              <w:tabs>
                <w:tab w:val="left" w:pos="24"/>
              </w:tabs>
              <w:jc w:val="both"/>
              <w:rPr>
                <w:sz w:val="24"/>
                <w:szCs w:val="24"/>
              </w:rPr>
            </w:pPr>
            <w:r>
              <w:rPr>
                <w:sz w:val="24"/>
                <w:szCs w:val="24"/>
                <w:lang w:val="en-GB"/>
              </w:rPr>
              <w:t>2,316 sentences retained from 5,849 candidates, drawn from 23 blogs</w:t>
            </w:r>
          </w:p>
        </w:tc>
        <w:tc>
          <w:tcPr>
            <w:tcW w:w="1843" w:type="dxa"/>
            <w:shd w:val="clear" w:color="auto" w:fill="D8D8D8"/>
            <w:vAlign w:val="center"/>
          </w:tcPr>
          <w:p w14:paraId="4206BCA0" w14:textId="77777777" w:rsidR="007F0036" w:rsidRDefault="007F0036" w:rsidP="007F0036">
            <w:pPr>
              <w:tabs>
                <w:tab w:val="left" w:pos="24"/>
              </w:tabs>
              <w:jc w:val="both"/>
              <w:rPr>
                <w:sz w:val="24"/>
                <w:szCs w:val="24"/>
              </w:rPr>
            </w:pPr>
            <w:r>
              <w:rPr>
                <w:sz w:val="24"/>
                <w:szCs w:val="24"/>
                <w:lang w:val="en-GB"/>
              </w:rPr>
              <w:t>κ = 0.83, for a binary opinionated-or-factual judgement</w:t>
            </w:r>
          </w:p>
        </w:tc>
        <w:tc>
          <w:tcPr>
            <w:tcW w:w="2551" w:type="dxa"/>
            <w:shd w:val="clear" w:color="auto" w:fill="D8D8D8"/>
            <w:vAlign w:val="center"/>
          </w:tcPr>
          <w:p w14:paraId="177F3000" w14:textId="77777777" w:rsidR="007F0036" w:rsidRDefault="007F0036" w:rsidP="007F0036">
            <w:pPr>
              <w:tabs>
                <w:tab w:val="left" w:pos="24"/>
              </w:tabs>
              <w:jc w:val="both"/>
              <w:rPr>
                <w:sz w:val="24"/>
                <w:szCs w:val="24"/>
              </w:rPr>
            </w:pPr>
            <w:r>
              <w:rPr>
                <w:sz w:val="24"/>
                <w:szCs w:val="24"/>
                <w:lang w:val="en-GB"/>
              </w:rPr>
              <w:t>Scale</w:t>
            </w:r>
          </w:p>
        </w:tc>
      </w:tr>
      <w:tr w:rsidR="00ED77BD" w14:paraId="526E33B1" w14:textId="77777777" w:rsidTr="008C0BA5">
        <w:trPr>
          <w:jc w:val="center"/>
        </w:trPr>
        <w:tc>
          <w:tcPr>
            <w:tcW w:w="1656" w:type="dxa"/>
            <w:shd w:val="clear" w:color="auto" w:fill="4BACC6"/>
            <w:vAlign w:val="center"/>
          </w:tcPr>
          <w:p w14:paraId="7E638568" w14:textId="77777777" w:rsidR="00ED77BD" w:rsidRDefault="00ED77BD" w:rsidP="00ED77BD">
            <w:pPr>
              <w:tabs>
                <w:tab w:val="left" w:pos="24"/>
              </w:tabs>
              <w:jc w:val="both"/>
              <w:rPr>
                <w:b/>
                <w:color w:val="FFFFFF"/>
                <w:sz w:val="24"/>
                <w:szCs w:val="24"/>
              </w:rPr>
            </w:pPr>
            <w:r>
              <w:rPr>
                <w:sz w:val="24"/>
                <w:szCs w:val="24"/>
                <w:lang w:val="en-GB"/>
              </w:rPr>
              <w:t>Manual</w:t>
            </w:r>
          </w:p>
        </w:tc>
        <w:tc>
          <w:tcPr>
            <w:tcW w:w="1417" w:type="dxa"/>
            <w:vAlign w:val="center"/>
          </w:tcPr>
          <w:p w14:paraId="4B01DED1" w14:textId="77777777" w:rsidR="00ED77BD" w:rsidRDefault="00ED77BD" w:rsidP="00ED77BD">
            <w:pPr>
              <w:tabs>
                <w:tab w:val="left" w:pos="24"/>
              </w:tabs>
              <w:jc w:val="both"/>
              <w:rPr>
                <w:sz w:val="24"/>
                <w:szCs w:val="24"/>
              </w:rPr>
            </w:pPr>
            <w:r>
              <w:rPr>
                <w:sz w:val="24"/>
                <w:szCs w:val="24"/>
                <w:lang w:val="en-GB"/>
              </w:rPr>
              <w:t>Kong et al. (2023)</w:t>
            </w:r>
          </w:p>
        </w:tc>
        <w:tc>
          <w:tcPr>
            <w:tcW w:w="1600" w:type="dxa"/>
            <w:vAlign w:val="center"/>
          </w:tcPr>
          <w:p w14:paraId="21CDD178" w14:textId="77777777" w:rsidR="00ED77BD" w:rsidRDefault="00ED77BD" w:rsidP="00ED77BD">
            <w:pPr>
              <w:tabs>
                <w:tab w:val="left" w:pos="24"/>
              </w:tabs>
              <w:jc w:val="both"/>
              <w:rPr>
                <w:sz w:val="24"/>
                <w:szCs w:val="24"/>
              </w:rPr>
            </w:pPr>
            <w:r>
              <w:rPr>
                <w:sz w:val="24"/>
                <w:szCs w:val="24"/>
                <w:lang w:val="en-GB"/>
              </w:rPr>
              <w:t>11,568 tweets annotated from 108,246 collected</w:t>
            </w:r>
          </w:p>
        </w:tc>
        <w:tc>
          <w:tcPr>
            <w:tcW w:w="1843" w:type="dxa"/>
            <w:vAlign w:val="center"/>
          </w:tcPr>
          <w:p w14:paraId="6FE99E64" w14:textId="77777777" w:rsidR="00ED77BD" w:rsidRDefault="00ED77BD" w:rsidP="00ED77BD">
            <w:pPr>
              <w:tabs>
                <w:tab w:val="left" w:pos="24"/>
              </w:tabs>
              <w:jc w:val="both"/>
              <w:rPr>
                <w:sz w:val="24"/>
                <w:szCs w:val="24"/>
              </w:rPr>
            </w:pPr>
            <w:r>
              <w:rPr>
                <w:sz w:val="24"/>
                <w:szCs w:val="24"/>
                <w:lang w:val="en-GB"/>
              </w:rPr>
              <w:t>Three annotators and a written guideline; no coefficient reported</w:t>
            </w:r>
          </w:p>
        </w:tc>
        <w:tc>
          <w:tcPr>
            <w:tcW w:w="2551" w:type="dxa"/>
            <w:vAlign w:val="center"/>
          </w:tcPr>
          <w:p w14:paraId="706E4C33" w14:textId="77777777" w:rsidR="00ED77BD" w:rsidRDefault="00ED77BD" w:rsidP="00ED77BD">
            <w:pPr>
              <w:tabs>
                <w:tab w:val="left" w:pos="24"/>
              </w:tabs>
              <w:jc w:val="both"/>
              <w:rPr>
                <w:sz w:val="24"/>
                <w:szCs w:val="24"/>
              </w:rPr>
            </w:pPr>
            <w:r>
              <w:rPr>
                <w:sz w:val="24"/>
                <w:szCs w:val="24"/>
                <w:lang w:val="en-GB"/>
              </w:rPr>
              <w:t>Scale</w:t>
            </w:r>
          </w:p>
        </w:tc>
      </w:tr>
      <w:tr w:rsidR="00ED77BD" w14:paraId="00E85C6F" w14:textId="77777777" w:rsidTr="008C0BA5">
        <w:trPr>
          <w:jc w:val="center"/>
        </w:trPr>
        <w:tc>
          <w:tcPr>
            <w:tcW w:w="1656" w:type="dxa"/>
            <w:shd w:val="clear" w:color="auto" w:fill="4BACC6"/>
            <w:vAlign w:val="center"/>
          </w:tcPr>
          <w:p w14:paraId="68C1EE2E" w14:textId="77777777" w:rsidR="00ED77BD" w:rsidRDefault="00ED77BD" w:rsidP="00ED77BD">
            <w:pPr>
              <w:tabs>
                <w:tab w:val="left" w:pos="24"/>
              </w:tabs>
              <w:jc w:val="both"/>
              <w:rPr>
                <w:b/>
                <w:color w:val="FFFFFF"/>
                <w:sz w:val="24"/>
                <w:szCs w:val="24"/>
              </w:rPr>
            </w:pPr>
            <w:r>
              <w:rPr>
                <w:sz w:val="24"/>
                <w:szCs w:val="24"/>
                <w:lang w:val="en-GB"/>
              </w:rPr>
              <w:t>Semi-automated</w:t>
            </w:r>
          </w:p>
        </w:tc>
        <w:tc>
          <w:tcPr>
            <w:tcW w:w="1417" w:type="dxa"/>
            <w:shd w:val="clear" w:color="auto" w:fill="D8D8D8"/>
            <w:vAlign w:val="center"/>
          </w:tcPr>
          <w:p w14:paraId="72DB5597" w14:textId="77777777" w:rsidR="00ED77BD" w:rsidRDefault="00ED77BD" w:rsidP="00ED77BD">
            <w:pPr>
              <w:tabs>
                <w:tab w:val="left" w:pos="24"/>
              </w:tabs>
              <w:jc w:val="both"/>
              <w:rPr>
                <w:sz w:val="24"/>
                <w:szCs w:val="24"/>
              </w:rPr>
            </w:pPr>
            <w:r>
              <w:rPr>
                <w:sz w:val="24"/>
                <w:szCs w:val="24"/>
                <w:lang w:val="en-GB"/>
              </w:rPr>
              <w:t>Mohd Shamsuddin et al. (2024)</w:t>
            </w:r>
          </w:p>
        </w:tc>
        <w:tc>
          <w:tcPr>
            <w:tcW w:w="1600" w:type="dxa"/>
            <w:shd w:val="clear" w:color="auto" w:fill="D8D8D8"/>
            <w:vAlign w:val="center"/>
          </w:tcPr>
          <w:p w14:paraId="636F7DDC" w14:textId="77777777" w:rsidR="00ED77BD" w:rsidRDefault="00ED77BD" w:rsidP="00ED77BD">
            <w:pPr>
              <w:tabs>
                <w:tab w:val="left" w:pos="24"/>
              </w:tabs>
              <w:jc w:val="both"/>
              <w:rPr>
                <w:sz w:val="24"/>
                <w:szCs w:val="24"/>
              </w:rPr>
            </w:pPr>
            <w:r>
              <w:rPr>
                <w:sz w:val="24"/>
                <w:szCs w:val="24"/>
                <w:lang w:val="en-GB"/>
              </w:rPr>
              <w:t>19,714 posts from 229,566 collected</w:t>
            </w:r>
          </w:p>
        </w:tc>
        <w:tc>
          <w:tcPr>
            <w:tcW w:w="1843" w:type="dxa"/>
            <w:shd w:val="clear" w:color="auto" w:fill="D8D8D8"/>
            <w:vAlign w:val="center"/>
          </w:tcPr>
          <w:p w14:paraId="473C5270" w14:textId="77777777" w:rsidR="00ED77BD" w:rsidRDefault="00ED77BD" w:rsidP="00ED77BD">
            <w:pPr>
              <w:tabs>
                <w:tab w:val="left" w:pos="24"/>
              </w:tabs>
              <w:jc w:val="both"/>
              <w:rPr>
                <w:sz w:val="24"/>
                <w:szCs w:val="24"/>
              </w:rPr>
            </w:pPr>
            <w:r>
              <w:rPr>
                <w:sz w:val="24"/>
                <w:szCs w:val="24"/>
                <w:lang w:val="en-GB"/>
              </w:rPr>
              <w:t>None reported; the pipeline has no human annotation stage</w:t>
            </w:r>
          </w:p>
        </w:tc>
        <w:tc>
          <w:tcPr>
            <w:tcW w:w="2551" w:type="dxa"/>
            <w:shd w:val="clear" w:color="auto" w:fill="D8D8D8"/>
            <w:vAlign w:val="center"/>
          </w:tcPr>
          <w:p w14:paraId="703373A4" w14:textId="77777777" w:rsidR="00ED77BD" w:rsidRDefault="00ED77BD" w:rsidP="00ED77BD">
            <w:pPr>
              <w:tabs>
                <w:tab w:val="left" w:pos="24"/>
              </w:tabs>
              <w:jc w:val="both"/>
              <w:rPr>
                <w:sz w:val="24"/>
                <w:szCs w:val="24"/>
              </w:rPr>
            </w:pPr>
            <w:r>
              <w:rPr>
                <w:sz w:val="24"/>
                <w:szCs w:val="24"/>
                <w:lang w:val="en-GB"/>
              </w:rPr>
              <w:t>Demonstrable fidelity</w:t>
            </w:r>
          </w:p>
        </w:tc>
      </w:tr>
      <w:tr w:rsidR="00ED77BD" w14:paraId="6E456B61" w14:textId="77777777" w:rsidTr="008C0BA5">
        <w:trPr>
          <w:jc w:val="center"/>
        </w:trPr>
        <w:tc>
          <w:tcPr>
            <w:tcW w:w="1656" w:type="dxa"/>
            <w:shd w:val="clear" w:color="auto" w:fill="4BACC6"/>
            <w:vAlign w:val="center"/>
          </w:tcPr>
          <w:p w14:paraId="6D2EB98E" w14:textId="77777777" w:rsidR="00ED77BD" w:rsidRPr="007F0036" w:rsidRDefault="00ED77BD" w:rsidP="00ED77BD">
            <w:pPr>
              <w:tabs>
                <w:tab w:val="left" w:pos="24"/>
              </w:tabs>
              <w:jc w:val="both"/>
              <w:rPr>
                <w:sz w:val="24"/>
                <w:szCs w:val="24"/>
                <w:lang w:val="en-GB"/>
              </w:rPr>
            </w:pPr>
            <w:r>
              <w:rPr>
                <w:sz w:val="24"/>
                <w:szCs w:val="24"/>
                <w:lang w:val="en-GB"/>
              </w:rPr>
              <w:t>Fully automated, generative</w:t>
            </w:r>
          </w:p>
        </w:tc>
        <w:tc>
          <w:tcPr>
            <w:tcW w:w="1417" w:type="dxa"/>
            <w:shd w:val="clear" w:color="auto" w:fill="D8D8D8"/>
            <w:vAlign w:val="center"/>
          </w:tcPr>
          <w:p w14:paraId="3491755F" w14:textId="77777777" w:rsidR="00ED77BD" w:rsidRPr="007F0036" w:rsidRDefault="00ED77BD" w:rsidP="00ED77BD">
            <w:pPr>
              <w:tabs>
                <w:tab w:val="left" w:pos="24"/>
              </w:tabs>
              <w:jc w:val="both"/>
              <w:rPr>
                <w:sz w:val="24"/>
                <w:szCs w:val="24"/>
                <w:lang w:val="en-GB"/>
              </w:rPr>
            </w:pPr>
            <w:r>
              <w:rPr>
                <w:sz w:val="24"/>
                <w:szCs w:val="24"/>
                <w:lang w:val="en-GB"/>
              </w:rPr>
              <w:t>None published for Malay-English</w:t>
            </w:r>
          </w:p>
        </w:tc>
        <w:tc>
          <w:tcPr>
            <w:tcW w:w="1600" w:type="dxa"/>
            <w:shd w:val="clear" w:color="auto" w:fill="D8D8D8"/>
            <w:vAlign w:val="center"/>
          </w:tcPr>
          <w:p w14:paraId="4B509B66" w14:textId="77777777" w:rsidR="00ED77BD" w:rsidRPr="007F0036" w:rsidRDefault="00ED77BD" w:rsidP="00ED77BD">
            <w:pPr>
              <w:tabs>
                <w:tab w:val="left" w:pos="24"/>
              </w:tabs>
              <w:jc w:val="both"/>
              <w:rPr>
                <w:sz w:val="24"/>
                <w:szCs w:val="24"/>
                <w:lang w:val="en-GB"/>
              </w:rPr>
            </w:pPr>
            <w:r>
              <w:rPr>
                <w:sz w:val="24"/>
                <w:szCs w:val="24"/>
                <w:lang w:val="en-GB"/>
              </w:rPr>
              <w:t>—</w:t>
            </w:r>
          </w:p>
        </w:tc>
        <w:tc>
          <w:tcPr>
            <w:tcW w:w="1843" w:type="dxa"/>
            <w:shd w:val="clear" w:color="auto" w:fill="D8D8D8"/>
            <w:vAlign w:val="center"/>
          </w:tcPr>
          <w:p w14:paraId="6E666262" w14:textId="77777777" w:rsidR="00ED77BD" w:rsidRPr="007F0036" w:rsidRDefault="00ED77BD" w:rsidP="00ED77BD">
            <w:pPr>
              <w:tabs>
                <w:tab w:val="left" w:pos="24"/>
              </w:tabs>
              <w:jc w:val="both"/>
              <w:rPr>
                <w:sz w:val="24"/>
                <w:szCs w:val="24"/>
                <w:lang w:val="en-GB"/>
              </w:rPr>
            </w:pPr>
            <w:r>
              <w:rPr>
                <w:sz w:val="24"/>
                <w:szCs w:val="24"/>
                <w:lang w:val="en-GB"/>
              </w:rPr>
              <w:t>—</w:t>
            </w:r>
          </w:p>
        </w:tc>
        <w:tc>
          <w:tcPr>
            <w:tcW w:w="2551" w:type="dxa"/>
            <w:shd w:val="clear" w:color="auto" w:fill="D8D8D8"/>
            <w:vAlign w:val="center"/>
          </w:tcPr>
          <w:p w14:paraId="68D92AA2" w14:textId="77777777" w:rsidR="00ED77BD" w:rsidRPr="007F0036" w:rsidRDefault="00ED77BD" w:rsidP="00ED77BD">
            <w:pPr>
              <w:tabs>
                <w:tab w:val="left" w:pos="24"/>
              </w:tabs>
              <w:jc w:val="both"/>
              <w:rPr>
                <w:sz w:val="24"/>
                <w:szCs w:val="24"/>
                <w:lang w:val="en-GB"/>
              </w:rPr>
            </w:pPr>
            <w:r>
              <w:rPr>
                <w:sz w:val="24"/>
                <w:szCs w:val="24"/>
                <w:lang w:val="en-GB"/>
              </w:rPr>
              <w:t>Reliability precisely where linguistic resources are scarce (Jadhav et al., 2025)</w:t>
            </w:r>
          </w:p>
        </w:tc>
      </w:tr>
    </w:tbl>
    <w:p w14:paraId="783562F8" w14:textId="77777777" w:rsidR="00ED77BD" w:rsidRPr="007F0036" w:rsidRDefault="00C127AD" w:rsidP="00ED77BD">
      <w:pPr>
        <w:spacing w:before="120"/>
        <w:jc w:val="both"/>
        <w:rPr>
          <w:b/>
          <w:bCs/>
          <w:sz w:val="24"/>
          <w:szCs w:val="24"/>
          <w:lang w:val="en-GB"/>
        </w:rPr>
      </w:pPr>
      <w:r>
        <w:rPr>
          <w:b/>
          <w:bCs/>
          <w:sz w:val="24"/>
          <w:szCs w:val="24"/>
          <w:lang w:val="en-GB"/>
        </w:rPr>
        <w:t xml:space="preserve">3.2 </w:t>
      </w:r>
      <w:r>
        <w:rPr>
          <w:b/>
          <w:bCs/>
          <w:sz w:val="24"/>
          <w:szCs w:val="24"/>
        </w:rPr>
        <w:t>Two causes of neutral-label skew</w:t>
      </w:r>
    </w:p>
    <w:p w14:paraId="3322B250" w14:textId="77777777" w:rsidR="00ED77BD" w:rsidRPr="0005406F" w:rsidRDefault="00ED77BD" w:rsidP="0005406F">
      <w:pPr>
        <w:spacing w:before="120"/>
        <w:ind w:firstLine="244"/>
        <w:jc w:val="both"/>
        <w:rPr>
          <w:lang w:val="en-GB"/>
        </w:rPr>
      </w:pPr>
      <w:r>
        <w:rPr>
          <w:sz w:val="24"/>
          <w:szCs w:val="24"/>
          <w:lang w:val="en-GB"/>
        </w:rPr>
        <w:t xml:space="preserve">The clearest regional evidence of what the second tier costs is the class distribution of the corpus it produced. MESocSentiment is labelled 78.23% neutral, 16.33% positive and 5.44% negative across 19,714 posts (Mohd Shamsuddin et al., 2024). Two reasons support reading that distribution as an artefact of the labelling method rather than a property of Malaysian discourse. The corpus was collected under the "#Malaysia" keyword across sports, politics and the arts, which are not topics on which social media users are typically neutral. A comparable corpus of Malaysian tweets labelled by human annotators is only 23.6% neutral (Kong et al., 2023). This section separates the two distinct </w:t>
      </w:r>
      <w:r>
        <w:rPr>
          <w:sz w:val="24"/>
          <w:szCs w:val="24"/>
        </w:rPr>
        <w:t>causes at work in that skew</w:t>
      </w:r>
      <w:r>
        <w:rPr>
          <w:sz w:val="24"/>
          <w:szCs w:val="24"/>
          <w:lang w:val="en-GB"/>
        </w:rPr>
        <w:t>, because they produce identical labels and require opposite responses.</w:t>
      </w:r>
    </w:p>
    <w:p w14:paraId="551F8865" w14:textId="77777777" w:rsidR="00ED77BD" w:rsidRDefault="00ED77BD" w:rsidP="00ED77BD">
      <w:pPr>
        <w:spacing w:before="120"/>
        <w:ind w:firstLine="244"/>
        <w:jc w:val="both"/>
        <w:rPr>
          <w:sz w:val="24"/>
          <w:szCs w:val="24"/>
          <w:lang w:val="en-GB"/>
        </w:rPr>
      </w:pPr>
      <w:r>
        <w:rPr>
          <w:sz w:val="24"/>
          <w:szCs w:val="24"/>
          <w:lang w:val="en-GB"/>
        </w:rPr>
        <w:t xml:space="preserve">The first cause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MESocSentiment, sets its classification thresholds at −0.05 and +0.05 on a normalised score running from −1 to 1 (Hutto and Gilbert, 2014). Two consequences follow from combining those two facts, and this review states them as an inference rather than as a reported finding. A text whose affective tokens are absent from the lexicon contributes little or nothing to the aggregate. Its score therefore remains within the neutral band, and it is returned as neutral. On that reading, neutral is not always a judgement that a </w:t>
      </w:r>
      <w:r>
        <w:rPr>
          <w:sz w:val="24"/>
          <w:szCs w:val="24"/>
          <w:lang w:val="en-GB"/>
        </w:rPr>
        <w:lastRenderedPageBreak/>
        <w:t>text is affectively balanced. It can also be the default output when nothing was recognised.</w:t>
      </w:r>
    </w:p>
    <w:p w14:paraId="35C062A8" w14:textId="77777777" w:rsidR="00D714BA" w:rsidRDefault="00D714BA" w:rsidP="00ED77BD">
      <w:pPr>
        <w:spacing w:before="120"/>
        <w:ind w:firstLine="244"/>
        <w:jc w:val="both"/>
        <w:rPr>
          <w:sz w:val="24"/>
          <w:szCs w:val="24"/>
        </w:rPr>
      </w:pPr>
      <w:r>
        <w:rPr>
          <w:sz w:val="24"/>
          <w:szCs w:val="24"/>
        </w:rPr>
        <w:t xml:space="preserve">The corpus authors' own error analysis indicates that the mechanism operates on this data. Alongside the corpus, Mohd Shamsuddin et al. (2024) present two small tables comparing the ensemble's label with the correct one. All three of the misclassified examples they give are neutral labels that should have been positive, and in all three the sentiment is carried by Malay: </w:t>
      </w:r>
      <w:r>
        <w:rPr>
          <w:i/>
          <w:iCs/>
          <w:sz w:val="24"/>
          <w:szCs w:val="24"/>
        </w:rPr>
        <w:t>memang cantik sangat</w:t>
      </w:r>
      <w:r>
        <w:rPr>
          <w:sz w:val="24"/>
          <w:szCs w:val="24"/>
        </w:rPr>
        <w:t xml:space="preserve">, </w:t>
      </w:r>
      <w:r>
        <w:rPr>
          <w:i/>
          <w:iCs/>
          <w:sz w:val="24"/>
          <w:szCs w:val="24"/>
        </w:rPr>
        <w:t>selamat deepavali</w:t>
      </w:r>
      <w:r>
        <w:rPr>
          <w:sz w:val="24"/>
          <w:szCs w:val="24"/>
        </w:rPr>
        <w:t xml:space="preserve"> and </w:t>
      </w:r>
      <w:r>
        <w:rPr>
          <w:i/>
          <w:iCs/>
          <w:sz w:val="24"/>
          <w:szCs w:val="24"/>
        </w:rPr>
        <w:t>raih gelar juara</w:t>
      </w:r>
      <w:r>
        <w:rPr>
          <w:sz w:val="24"/>
          <w:szCs w:val="24"/>
        </w:rPr>
        <w:t xml:space="preserve">. In the correctly classified negative example, the sentiment is carried by an English word, </w:t>
      </w:r>
      <w:r>
        <w:rPr>
          <w:i/>
          <w:iCs/>
          <w:sz w:val="24"/>
          <w:szCs w:val="24"/>
        </w:rPr>
        <w:t>worthless</w:t>
      </w:r>
      <w:r>
        <w:rPr>
          <w:sz w:val="24"/>
          <w:szCs w:val="24"/>
        </w:rPr>
        <w:t>. Six author-selected examples are illustrative rather than statistical, and no error rate can be computed from them. Their uniformity is nonetheless difficult to dismiss: where the ensemble succeeded, the affect was in a language its tools covered, and in every case where it failed, the affect was not.</w:t>
      </w:r>
    </w:p>
    <w:p w14:paraId="3095AA50" w14:textId="77777777" w:rsidR="00D714BA" w:rsidRPr="00D714BA" w:rsidRDefault="00D714BA" w:rsidP="00D714BA">
      <w:pPr>
        <w:spacing w:before="120"/>
        <w:ind w:firstLine="244"/>
        <w:jc w:val="both"/>
        <w:rPr>
          <w:sz w:val="24"/>
          <w:szCs w:val="24"/>
          <w:lang w:val="en-GB"/>
        </w:rPr>
      </w:pPr>
      <w:r>
        <w:rPr>
          <w:sz w:val="24"/>
          <w:szCs w:val="24"/>
          <w:lang w:val="en-GB"/>
        </w:rPr>
        <w:t>The second cause has nothing to do with tooling. Some posts are genuinely hard to judge, and the annotators of the regional corpora say so. Kasmuri and Basiron (2019) note that low agreement in sentiment annotation arises because sentiment texts are subjective, so evaluations differ from one annotator to another and are shaped by each annotator's background. Kong et al. (2023) make the same point about their own task, observing that tagging text with sentiment labels is highly subjective and influenced by personal beliefs, and that a clear guideline is needed for this reason. As Section 2.2 established, disagreement of this kind is not removed by collecting more judgements (Pavlick and Kwiatkowski, 2019).</w:t>
      </w:r>
    </w:p>
    <w:p w14:paraId="78B38C63" w14:textId="77777777" w:rsidR="00D714BA" w:rsidRPr="00D714BA" w:rsidRDefault="00D714BA" w:rsidP="00D714BA">
      <w:pPr>
        <w:spacing w:before="120"/>
        <w:ind w:firstLine="244"/>
        <w:jc w:val="both"/>
        <w:rPr>
          <w:sz w:val="24"/>
          <w:szCs w:val="24"/>
          <w:lang w:val="en-GB"/>
        </w:rPr>
      </w:pPr>
      <w:r>
        <w:rPr>
          <w:sz w:val="24"/>
          <w:szCs w:val="24"/>
          <w:lang w:val="en-GB"/>
        </w:rPr>
        <w:t>Separating the two causes matters because the labels they produce are indistinguishable and the responses they require are opposite. A genuinely neutral post is correctly labelled and belongs in the corpus. A falsely neutral post is an error that a better-resourced annotator would not have made. A single-model pipeline is structurally unable to tell them apart, because the evidence that would distinguish them, namely the affect the annotator could not read, is exactly the evidence that annotator does not have.</w:t>
      </w:r>
    </w:p>
    <w:p w14:paraId="1B1D9D31" w14:textId="77777777" w:rsidR="00D714BA" w:rsidRPr="00D714BA" w:rsidRDefault="00D714BA" w:rsidP="00D714BA">
      <w:pPr>
        <w:spacing w:before="120"/>
        <w:ind w:firstLine="244"/>
        <w:jc w:val="both"/>
        <w:rPr>
          <w:sz w:val="24"/>
          <w:szCs w:val="24"/>
          <w:lang w:val="en-GB"/>
        </w:rPr>
      </w:pPr>
      <w:r>
        <w:rPr>
          <w:sz w:val="24"/>
          <w:szCs w:val="24"/>
          <w:lang w:val="en-GB"/>
        </w:rPr>
        <w:t xml:space="preserve">The consequence is more damaging than the </w:t>
      </w:r>
      <w:r>
        <w:rPr>
          <w:sz w:val="24"/>
          <w:szCs w:val="24"/>
        </w:rPr>
        <w:t xml:space="preserve">aggregate </w:t>
      </w:r>
      <w:r>
        <w:rPr>
          <w:sz w:val="24"/>
          <w:szCs w:val="24"/>
          <w:lang w:val="en-GB"/>
        </w:rPr>
        <w:t>percentage suggests, because a false neutral does not only inflate one class. It also depletes another. Every strongly polarised post absorbed into the neutral class is a training example removed from a minority class that a downstream classifier needs most. At a 5.44% negative share, the smallest class in the corpus is also the one most exposed to that erosion.</w:t>
      </w:r>
    </w:p>
    <w:p w14:paraId="5A241194" w14:textId="77777777" w:rsidR="00D714BA" w:rsidRPr="007F0036" w:rsidRDefault="00C127AD" w:rsidP="00D714BA">
      <w:pPr>
        <w:spacing w:before="120"/>
        <w:jc w:val="both"/>
        <w:rPr>
          <w:b/>
          <w:bCs/>
          <w:sz w:val="24"/>
          <w:szCs w:val="24"/>
          <w:lang w:val="en-GB"/>
        </w:rPr>
      </w:pPr>
      <w:r>
        <w:rPr>
          <w:b/>
          <w:bCs/>
          <w:sz w:val="24"/>
          <w:szCs w:val="24"/>
          <w:lang w:val="en-GB"/>
        </w:rPr>
        <w:t xml:space="preserve">3.3 </w:t>
      </w:r>
      <w:r>
        <w:rPr>
          <w:b/>
          <w:bCs/>
          <w:sz w:val="24"/>
          <w:szCs w:val="24"/>
        </w:rPr>
        <w:t>What consensus does with disagreement</w:t>
      </w:r>
    </w:p>
    <w:p w14:paraId="34C33E1F" w14:textId="77777777" w:rsidR="00D714BA" w:rsidRPr="00D714BA" w:rsidRDefault="009F7D9C" w:rsidP="00D714BA">
      <w:pPr>
        <w:spacing w:before="120"/>
        <w:ind w:firstLine="244"/>
        <w:jc w:val="both"/>
        <w:rPr>
          <w:sz w:val="24"/>
          <w:szCs w:val="24"/>
          <w:lang w:val="en-GB"/>
        </w:rPr>
      </w:pPr>
      <w:r>
        <w:rPr>
          <w:sz w:val="24"/>
          <w:szCs w:val="24"/>
        </w:rPr>
        <w:t>Pooling several annotators is the response most often proposed when a single annotator is unreliable (Artstein and Poesio, 2008; Uma et al., 2021). MESocSentiment is evidence against that response, because it already was a consensus pipeline</w:t>
      </w:r>
      <w:r>
        <w:rPr>
          <w:sz w:val="24"/>
          <w:szCs w:val="24"/>
          <w:lang w:val="en-GB"/>
        </w:rPr>
        <w:t>. Three sentiment analysers labelled every post and the majority label was assigned. The corpus skewed anyway.</w:t>
      </w:r>
    </w:p>
    <w:p w14:paraId="4132FF8E" w14:textId="77777777" w:rsidR="00D714BA" w:rsidRPr="00D714BA" w:rsidRDefault="00D714BA" w:rsidP="00D714BA">
      <w:pPr>
        <w:spacing w:before="120"/>
        <w:ind w:firstLine="244"/>
        <w:jc w:val="both"/>
        <w:rPr>
          <w:sz w:val="24"/>
          <w:szCs w:val="24"/>
          <w:lang w:val="en-GB"/>
        </w:rPr>
      </w:pPr>
      <w:r>
        <w:rPr>
          <w:sz w:val="24"/>
          <w:szCs w:val="24"/>
          <w:lang w:val="en-GB"/>
        </w:rPr>
        <w:t>The reason is visible in the corpus authors' own reporting, and it is not the one that might be expected. Voting cancels error only to the extent that voters fail independently, and the usual guarantee of independence is architectural difference. Table 2 shows that architectural difference was present and did not help.</w:t>
      </w:r>
    </w:p>
    <w:p w14:paraId="5C82D1B0" w14:textId="77777777" w:rsidR="00D714BA" w:rsidRPr="00D714BA" w:rsidRDefault="00D714BA" w:rsidP="00D714BA">
      <w:pPr>
        <w:spacing w:before="120"/>
        <w:ind w:firstLine="244"/>
        <w:jc w:val="center"/>
        <w:rPr>
          <w:b/>
          <w:bCs/>
          <w:sz w:val="24"/>
          <w:szCs w:val="24"/>
          <w:lang w:val="en-GB"/>
        </w:rPr>
      </w:pPr>
      <w:r>
        <w:rPr>
          <w:b/>
          <w:bCs/>
          <w:sz w:val="24"/>
          <w:szCs w:val="24"/>
          <w:lang w:val="en-GB"/>
        </w:rPr>
        <w:lastRenderedPageBreak/>
        <w:t xml:space="preserve">Table 2. </w:t>
      </w:r>
      <w:r>
        <w:rPr>
          <w:b/>
          <w:bCs/>
          <w:sz w:val="24"/>
          <w:szCs w:val="24"/>
        </w:rPr>
        <w:t>The Three Annotators Used to Build MESocSentiment,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4878FC3A" w14:textId="77777777" w:rsidTr="008C0BA5">
        <w:trPr>
          <w:jc w:val="center"/>
        </w:trPr>
        <w:tc>
          <w:tcPr>
            <w:tcW w:w="897" w:type="pct"/>
            <w:shd w:val="clear" w:color="auto" w:fill="4BACC6"/>
            <w:vAlign w:val="center"/>
          </w:tcPr>
          <w:p w14:paraId="21B32462" w14:textId="77777777" w:rsidR="00D714BA" w:rsidRDefault="00D714BA" w:rsidP="00D714BA">
            <w:pPr>
              <w:tabs>
                <w:tab w:val="left" w:pos="24"/>
              </w:tabs>
              <w:jc w:val="both"/>
              <w:rPr>
                <w:b/>
                <w:color w:val="FFFFFF"/>
                <w:sz w:val="24"/>
                <w:szCs w:val="24"/>
              </w:rPr>
            </w:pPr>
            <w:r>
              <w:rPr>
                <w:b/>
                <w:bCs/>
                <w:sz w:val="24"/>
                <w:szCs w:val="24"/>
                <w:lang w:val="en-GB"/>
              </w:rPr>
              <w:t>Analyser</w:t>
            </w:r>
          </w:p>
        </w:tc>
        <w:tc>
          <w:tcPr>
            <w:tcW w:w="1405" w:type="pct"/>
            <w:shd w:val="clear" w:color="auto" w:fill="4BACC6"/>
            <w:vAlign w:val="center"/>
          </w:tcPr>
          <w:p w14:paraId="7087761A" w14:textId="77777777" w:rsidR="00D714BA" w:rsidRDefault="00D714BA" w:rsidP="00D714BA">
            <w:pPr>
              <w:tabs>
                <w:tab w:val="left" w:pos="24"/>
              </w:tabs>
              <w:jc w:val="both"/>
              <w:rPr>
                <w:b/>
                <w:color w:val="FFFFFF"/>
                <w:sz w:val="24"/>
                <w:szCs w:val="24"/>
              </w:rPr>
            </w:pPr>
            <w:r>
              <w:rPr>
                <w:b/>
                <w:bCs/>
                <w:sz w:val="24"/>
                <w:szCs w:val="24"/>
                <w:lang w:val="en-GB"/>
              </w:rPr>
              <w:t>How the corpus authors describe it</w:t>
            </w:r>
          </w:p>
        </w:tc>
        <w:tc>
          <w:tcPr>
            <w:tcW w:w="1084" w:type="pct"/>
            <w:shd w:val="clear" w:color="auto" w:fill="4BACC6"/>
            <w:vAlign w:val="center"/>
          </w:tcPr>
          <w:p w14:paraId="17CAAD9F" w14:textId="77777777" w:rsidR="00D714BA" w:rsidRDefault="00D714BA" w:rsidP="00D714BA">
            <w:pPr>
              <w:tabs>
                <w:tab w:val="left" w:pos="24"/>
              </w:tabs>
              <w:jc w:val="both"/>
              <w:rPr>
                <w:b/>
                <w:color w:val="FFFFFF"/>
                <w:sz w:val="24"/>
                <w:szCs w:val="24"/>
              </w:rPr>
            </w:pPr>
            <w:r>
              <w:rPr>
                <w:b/>
                <w:bCs/>
                <w:sz w:val="24"/>
                <w:szCs w:val="24"/>
                <w:lang w:val="en-GB"/>
              </w:rPr>
              <w:t>Languages it is described as covering</w:t>
            </w:r>
          </w:p>
        </w:tc>
        <w:tc>
          <w:tcPr>
            <w:tcW w:w="1614" w:type="pct"/>
            <w:shd w:val="clear" w:color="auto" w:fill="4BACC6"/>
            <w:vAlign w:val="center"/>
          </w:tcPr>
          <w:p w14:paraId="55736F13" w14:textId="77777777" w:rsidR="00D714BA" w:rsidRDefault="00D714BA" w:rsidP="00D714BA">
            <w:pPr>
              <w:tabs>
                <w:tab w:val="left" w:pos="24"/>
              </w:tabs>
              <w:jc w:val="both"/>
              <w:rPr>
                <w:b/>
                <w:color w:val="FFFFFF"/>
                <w:sz w:val="24"/>
                <w:szCs w:val="24"/>
              </w:rPr>
            </w:pPr>
            <w:r>
              <w:rPr>
                <w:b/>
                <w:bCs/>
                <w:sz w:val="24"/>
                <w:szCs w:val="24"/>
                <w:lang w:val="en-GB"/>
              </w:rPr>
              <w:t>Neutral labels assigned, of 19,714</w:t>
            </w:r>
          </w:p>
        </w:tc>
      </w:tr>
      <w:tr w:rsidR="00D714BA" w14:paraId="10069CCA" w14:textId="77777777" w:rsidTr="008C0BA5">
        <w:trPr>
          <w:jc w:val="center"/>
        </w:trPr>
        <w:tc>
          <w:tcPr>
            <w:tcW w:w="897" w:type="pct"/>
            <w:shd w:val="clear" w:color="auto" w:fill="4BACC6"/>
            <w:vAlign w:val="center"/>
          </w:tcPr>
          <w:p w14:paraId="64710C1E" w14:textId="77777777" w:rsidR="00D714BA" w:rsidRDefault="00D714BA" w:rsidP="00D714BA">
            <w:pPr>
              <w:tabs>
                <w:tab w:val="left" w:pos="24"/>
              </w:tabs>
              <w:jc w:val="both"/>
              <w:rPr>
                <w:b/>
                <w:color w:val="FFFFFF"/>
                <w:sz w:val="24"/>
                <w:szCs w:val="24"/>
              </w:rPr>
            </w:pPr>
            <w:r>
              <w:rPr>
                <w:sz w:val="24"/>
                <w:szCs w:val="24"/>
                <w:lang w:val="en-GB"/>
              </w:rPr>
              <w:t>TextBlob</w:t>
            </w:r>
          </w:p>
        </w:tc>
        <w:tc>
          <w:tcPr>
            <w:tcW w:w="1405" w:type="pct"/>
            <w:shd w:val="clear" w:color="auto" w:fill="D8D8D8"/>
            <w:vAlign w:val="center"/>
          </w:tcPr>
          <w:p w14:paraId="5FEACCF0" w14:textId="77777777" w:rsidR="00D714BA" w:rsidRDefault="00D714BA" w:rsidP="00D714BA">
            <w:pPr>
              <w:tabs>
                <w:tab w:val="left" w:pos="24"/>
              </w:tabs>
              <w:jc w:val="both"/>
              <w:rPr>
                <w:sz w:val="24"/>
                <w:szCs w:val="24"/>
              </w:rPr>
            </w:pPr>
            <w:r>
              <w:rPr>
                <w:sz w:val="24"/>
                <w:szCs w:val="24"/>
                <w:lang w:val="en-GB"/>
              </w:rPr>
              <w:t>"a Python library used to process textual data"</w:t>
            </w:r>
          </w:p>
        </w:tc>
        <w:tc>
          <w:tcPr>
            <w:tcW w:w="1084" w:type="pct"/>
            <w:shd w:val="clear" w:color="auto" w:fill="D8D8D8"/>
            <w:vAlign w:val="center"/>
          </w:tcPr>
          <w:p w14:paraId="4DC4FE8F" w14:textId="77777777" w:rsidR="00D714BA" w:rsidRDefault="00D714BA" w:rsidP="00D714BA">
            <w:pPr>
              <w:tabs>
                <w:tab w:val="left" w:pos="24"/>
              </w:tabs>
              <w:jc w:val="both"/>
              <w:rPr>
                <w:sz w:val="24"/>
                <w:szCs w:val="24"/>
              </w:rPr>
            </w:pPr>
            <w:r>
              <w:rPr>
                <w:sz w:val="24"/>
                <w:szCs w:val="24"/>
                <w:lang w:val="en-GB"/>
              </w:rPr>
              <w:t>Not stated</w:t>
            </w:r>
          </w:p>
        </w:tc>
        <w:tc>
          <w:tcPr>
            <w:tcW w:w="1614" w:type="pct"/>
            <w:shd w:val="clear" w:color="auto" w:fill="D8D8D8"/>
            <w:vAlign w:val="center"/>
          </w:tcPr>
          <w:p w14:paraId="196698F5" w14:textId="77777777" w:rsidR="00D714BA" w:rsidRDefault="00D714BA" w:rsidP="00D714BA">
            <w:pPr>
              <w:tabs>
                <w:tab w:val="left" w:pos="24"/>
              </w:tabs>
              <w:jc w:val="both"/>
              <w:rPr>
                <w:sz w:val="24"/>
                <w:szCs w:val="24"/>
              </w:rPr>
            </w:pPr>
            <w:r>
              <w:rPr>
                <w:sz w:val="24"/>
                <w:szCs w:val="24"/>
                <w:lang w:val="en-GB"/>
              </w:rPr>
              <w:t>14,305 (72.6%)</w:t>
            </w:r>
          </w:p>
        </w:tc>
      </w:tr>
      <w:tr w:rsidR="00D714BA" w14:paraId="3F10D7FD" w14:textId="77777777" w:rsidTr="008C0BA5">
        <w:trPr>
          <w:jc w:val="center"/>
        </w:trPr>
        <w:tc>
          <w:tcPr>
            <w:tcW w:w="897" w:type="pct"/>
            <w:shd w:val="clear" w:color="auto" w:fill="4BACC6"/>
            <w:vAlign w:val="center"/>
          </w:tcPr>
          <w:p w14:paraId="68B9A42F" w14:textId="77777777" w:rsidR="00D714BA" w:rsidRDefault="00D714BA" w:rsidP="00D714BA">
            <w:pPr>
              <w:tabs>
                <w:tab w:val="left" w:pos="24"/>
              </w:tabs>
              <w:jc w:val="both"/>
              <w:rPr>
                <w:b/>
                <w:color w:val="FFFFFF"/>
                <w:sz w:val="24"/>
                <w:szCs w:val="24"/>
              </w:rPr>
            </w:pPr>
            <w:r>
              <w:rPr>
                <w:sz w:val="24"/>
                <w:szCs w:val="24"/>
                <w:lang w:val="en-GB"/>
              </w:rPr>
              <w:t>VADER</w:t>
            </w:r>
          </w:p>
        </w:tc>
        <w:tc>
          <w:tcPr>
            <w:tcW w:w="1405" w:type="pct"/>
            <w:vAlign w:val="center"/>
          </w:tcPr>
          <w:p w14:paraId="34DC7EC2" w14:textId="77777777" w:rsidR="00D714BA" w:rsidRDefault="00D714BA" w:rsidP="00D714BA">
            <w:pPr>
              <w:tabs>
                <w:tab w:val="left" w:pos="24"/>
              </w:tabs>
              <w:jc w:val="both"/>
              <w:rPr>
                <w:sz w:val="24"/>
                <w:szCs w:val="24"/>
              </w:rPr>
            </w:pPr>
            <w:r>
              <w:rPr>
                <w:sz w:val="24"/>
                <w:szCs w:val="24"/>
                <w:lang w:val="en-GB"/>
              </w:rPr>
              <w:t>"a rule-based model … made to focus on social media texts"</w:t>
            </w:r>
          </w:p>
        </w:tc>
        <w:tc>
          <w:tcPr>
            <w:tcW w:w="1084" w:type="pct"/>
            <w:vAlign w:val="center"/>
          </w:tcPr>
          <w:p w14:paraId="09F7B099" w14:textId="77777777" w:rsidR="00D714BA" w:rsidRDefault="00D714BA" w:rsidP="00D714BA">
            <w:pPr>
              <w:tabs>
                <w:tab w:val="left" w:pos="24"/>
              </w:tabs>
              <w:jc w:val="both"/>
              <w:rPr>
                <w:sz w:val="24"/>
                <w:szCs w:val="24"/>
              </w:rPr>
            </w:pPr>
            <w:r>
              <w:rPr>
                <w:sz w:val="24"/>
                <w:szCs w:val="24"/>
                <w:lang w:val="en-GB"/>
              </w:rPr>
              <w:t>Not stated</w:t>
            </w:r>
          </w:p>
        </w:tc>
        <w:tc>
          <w:tcPr>
            <w:tcW w:w="1614" w:type="pct"/>
            <w:vAlign w:val="center"/>
          </w:tcPr>
          <w:p w14:paraId="7E3E8212" w14:textId="77777777" w:rsidR="00D714BA" w:rsidRDefault="00D714BA" w:rsidP="00D714BA">
            <w:pPr>
              <w:tabs>
                <w:tab w:val="left" w:pos="24"/>
              </w:tabs>
              <w:jc w:val="both"/>
              <w:rPr>
                <w:sz w:val="24"/>
                <w:szCs w:val="24"/>
              </w:rPr>
            </w:pPr>
            <w:r>
              <w:rPr>
                <w:sz w:val="24"/>
                <w:szCs w:val="24"/>
                <w:lang w:val="en-GB"/>
              </w:rPr>
              <w:t>13,115 (66.5%)</w:t>
            </w:r>
          </w:p>
        </w:tc>
      </w:tr>
      <w:tr w:rsidR="00D714BA" w14:paraId="0BA1F28F" w14:textId="77777777" w:rsidTr="008C0BA5">
        <w:trPr>
          <w:jc w:val="center"/>
        </w:trPr>
        <w:tc>
          <w:tcPr>
            <w:tcW w:w="897" w:type="pct"/>
            <w:shd w:val="clear" w:color="auto" w:fill="4BACC6"/>
            <w:vAlign w:val="center"/>
          </w:tcPr>
          <w:p w14:paraId="043ACAAC" w14:textId="77777777" w:rsidR="00D714BA" w:rsidRDefault="00D714BA" w:rsidP="00D714BA">
            <w:pPr>
              <w:tabs>
                <w:tab w:val="left" w:pos="24"/>
              </w:tabs>
              <w:jc w:val="both"/>
              <w:rPr>
                <w:b/>
                <w:color w:val="FFFFFF"/>
                <w:sz w:val="24"/>
                <w:szCs w:val="24"/>
              </w:rPr>
            </w:pPr>
            <w:r>
              <w:rPr>
                <w:sz w:val="24"/>
                <w:szCs w:val="24"/>
                <w:lang w:val="en-GB"/>
              </w:rPr>
              <w:t>pysentimiento</w:t>
            </w:r>
          </w:p>
        </w:tc>
        <w:tc>
          <w:tcPr>
            <w:tcW w:w="1405" w:type="pct"/>
            <w:shd w:val="clear" w:color="auto" w:fill="D8D8D8"/>
            <w:vAlign w:val="center"/>
          </w:tcPr>
          <w:p w14:paraId="5E7DE014" w14:textId="77777777" w:rsidR="00D714BA" w:rsidRDefault="00D714BA" w:rsidP="00D714BA">
            <w:pPr>
              <w:tabs>
                <w:tab w:val="left" w:pos="24"/>
              </w:tabs>
              <w:jc w:val="both"/>
              <w:rPr>
                <w:sz w:val="24"/>
                <w:szCs w:val="24"/>
              </w:rPr>
            </w:pPr>
            <w:r>
              <w:rPr>
                <w:sz w:val="24"/>
                <w:szCs w:val="24"/>
                <w:lang w:val="en-GB"/>
              </w:rPr>
              <w:t>A toolkit "trained for sentiment analysis in English, Spanish, Portugeuse, and Italian"</w:t>
            </w:r>
          </w:p>
        </w:tc>
        <w:tc>
          <w:tcPr>
            <w:tcW w:w="1084" w:type="pct"/>
            <w:shd w:val="clear" w:color="auto" w:fill="D8D8D8"/>
            <w:vAlign w:val="center"/>
          </w:tcPr>
          <w:p w14:paraId="1E0A56EE" w14:textId="77777777" w:rsidR="00D714BA" w:rsidRDefault="00D714BA" w:rsidP="00D714BA">
            <w:pPr>
              <w:tabs>
                <w:tab w:val="left" w:pos="24"/>
              </w:tabs>
              <w:jc w:val="both"/>
              <w:rPr>
                <w:sz w:val="24"/>
                <w:szCs w:val="24"/>
              </w:rPr>
            </w:pPr>
            <w:r>
              <w:rPr>
                <w:sz w:val="24"/>
                <w:szCs w:val="24"/>
                <w:lang w:val="en-GB"/>
              </w:rPr>
              <w:t>English, Spanish, Portuguese, Italian</w:t>
            </w:r>
          </w:p>
        </w:tc>
        <w:tc>
          <w:tcPr>
            <w:tcW w:w="1614" w:type="pct"/>
            <w:shd w:val="clear" w:color="auto" w:fill="D8D8D8"/>
            <w:vAlign w:val="center"/>
          </w:tcPr>
          <w:p w14:paraId="0DB59F03" w14:textId="77777777" w:rsidR="00D714BA" w:rsidRDefault="00D714BA" w:rsidP="00D714BA">
            <w:pPr>
              <w:tabs>
                <w:tab w:val="left" w:pos="24"/>
              </w:tabs>
              <w:jc w:val="both"/>
              <w:rPr>
                <w:sz w:val="24"/>
                <w:szCs w:val="24"/>
              </w:rPr>
            </w:pPr>
            <w:r>
              <w:rPr>
                <w:sz w:val="24"/>
                <w:szCs w:val="24"/>
                <w:lang w:val="en-GB"/>
              </w:rPr>
              <w:t>16,916 (85.8%)</w:t>
            </w:r>
          </w:p>
        </w:tc>
      </w:tr>
      <w:tr w:rsidR="00D714BA" w14:paraId="0B450905" w14:textId="77777777" w:rsidTr="008C0BA5">
        <w:trPr>
          <w:jc w:val="center"/>
        </w:trPr>
        <w:tc>
          <w:tcPr>
            <w:tcW w:w="897" w:type="pct"/>
            <w:shd w:val="clear" w:color="auto" w:fill="4BACC6"/>
            <w:vAlign w:val="center"/>
          </w:tcPr>
          <w:p w14:paraId="5EE321D4" w14:textId="77777777" w:rsidR="00D714BA" w:rsidRPr="00D714BA" w:rsidRDefault="00D714BA" w:rsidP="00D714BA">
            <w:pPr>
              <w:tabs>
                <w:tab w:val="left" w:pos="24"/>
              </w:tabs>
              <w:jc w:val="both"/>
              <w:rPr>
                <w:sz w:val="24"/>
                <w:szCs w:val="24"/>
                <w:lang w:val="en-GB"/>
              </w:rPr>
            </w:pPr>
            <w:r>
              <w:rPr>
                <w:sz w:val="24"/>
                <w:szCs w:val="24"/>
                <w:lang w:val="en-GB"/>
              </w:rPr>
              <w:t>Majority vote</w:t>
            </w:r>
          </w:p>
        </w:tc>
        <w:tc>
          <w:tcPr>
            <w:tcW w:w="1405" w:type="pct"/>
            <w:shd w:val="clear" w:color="auto" w:fill="D8D8D8"/>
            <w:vAlign w:val="center"/>
          </w:tcPr>
          <w:p w14:paraId="4A959F9A" w14:textId="77777777" w:rsidR="00D714BA" w:rsidRPr="00D714BA" w:rsidRDefault="00D714BA" w:rsidP="00D714BA">
            <w:pPr>
              <w:tabs>
                <w:tab w:val="left" w:pos="24"/>
              </w:tabs>
              <w:jc w:val="both"/>
              <w:rPr>
                <w:sz w:val="24"/>
                <w:szCs w:val="24"/>
                <w:lang w:val="en-GB"/>
              </w:rPr>
            </w:pPr>
            <w:r>
              <w:rPr>
                <w:sz w:val="24"/>
                <w:szCs w:val="24"/>
                <w:lang w:val="en-GB"/>
              </w:rPr>
              <w:t>—</w:t>
            </w:r>
          </w:p>
        </w:tc>
        <w:tc>
          <w:tcPr>
            <w:tcW w:w="1084" w:type="pct"/>
            <w:shd w:val="clear" w:color="auto" w:fill="D8D8D8"/>
            <w:vAlign w:val="center"/>
          </w:tcPr>
          <w:p w14:paraId="6918ABC3" w14:textId="77777777" w:rsidR="00D714BA" w:rsidRPr="00D714BA" w:rsidRDefault="00D714BA" w:rsidP="00D714BA">
            <w:pPr>
              <w:tabs>
                <w:tab w:val="left" w:pos="24"/>
              </w:tabs>
              <w:jc w:val="both"/>
              <w:rPr>
                <w:sz w:val="24"/>
                <w:szCs w:val="24"/>
                <w:lang w:val="en-GB"/>
              </w:rPr>
            </w:pPr>
            <w:r>
              <w:rPr>
                <w:sz w:val="24"/>
                <w:szCs w:val="24"/>
                <w:lang w:val="en-GB"/>
              </w:rPr>
              <w:t>—</w:t>
            </w:r>
          </w:p>
        </w:tc>
        <w:tc>
          <w:tcPr>
            <w:tcW w:w="1614" w:type="pct"/>
            <w:shd w:val="clear" w:color="auto" w:fill="D8D8D8"/>
            <w:vAlign w:val="center"/>
          </w:tcPr>
          <w:p w14:paraId="7282495A" w14:textId="77777777" w:rsidR="00D714BA" w:rsidRPr="00D714BA" w:rsidRDefault="00D714BA" w:rsidP="00D714BA">
            <w:pPr>
              <w:tabs>
                <w:tab w:val="left" w:pos="24"/>
              </w:tabs>
              <w:jc w:val="both"/>
              <w:rPr>
                <w:sz w:val="24"/>
                <w:szCs w:val="24"/>
                <w:lang w:val="en-GB"/>
              </w:rPr>
            </w:pPr>
            <w:r>
              <w:rPr>
                <w:sz w:val="24"/>
                <w:szCs w:val="24"/>
                <w:lang w:val="en-GB"/>
              </w:rPr>
              <w:t>15,422 (78.2%)</w:t>
            </w:r>
          </w:p>
        </w:tc>
      </w:tr>
    </w:tbl>
    <w:p w14:paraId="7277BA16" w14:textId="77777777" w:rsidR="00CE6FEC" w:rsidRPr="00CE6FEC" w:rsidRDefault="00CE6FEC" w:rsidP="00CE6FEC">
      <w:pPr>
        <w:spacing w:before="120"/>
        <w:ind w:firstLine="244"/>
        <w:jc w:val="both"/>
        <w:rPr>
          <w:sz w:val="24"/>
          <w:szCs w:val="24"/>
          <w:lang w:val="en-GB"/>
        </w:rPr>
      </w:pPr>
      <w:r>
        <w:rPr>
          <w:sz w:val="24"/>
          <w:szCs w:val="24"/>
          <w:lang w:val="en-GB"/>
        </w:rPr>
        <w:t xml:space="preserve">Two things follow. The first is that every analyser skewed neutral before any vote was taken, so the skew was not produced by the voting rule. The second is that the analyser skewing hardest, at 85.8%, is pysentimiento, </w:t>
      </w:r>
      <w:r>
        <w:rPr>
          <w:sz w:val="24"/>
          <w:szCs w:val="24"/>
        </w:rPr>
        <w:t>which is the transformer-based tool of the three, built on the neural architecture that underlies most current language models</w:t>
      </w:r>
      <w:r>
        <w:rPr>
          <w:sz w:val="24"/>
          <w:szCs w:val="24"/>
          <w:lang w:val="en-GB"/>
        </w:rPr>
        <w:t>. The shared weakness is therefore not shallow processing, since the deepest model performed worst. None of the three is described by the corpus authors as covering Malay, and one is explicitly described as trained on four other languages. The property the three voters share is the language they cannot read, and a Malay affective token invisible to one is invisible to all. The ensemble does not cancel that error. It ratifies it, and unanimity produced this way is indistinguishable from confidence.</w:t>
      </w:r>
    </w:p>
    <w:p w14:paraId="762AE3D0" w14:textId="77777777" w:rsidR="00CE6FEC" w:rsidRPr="00CE6FEC" w:rsidRDefault="00CE6FEC" w:rsidP="00CE6FEC">
      <w:pPr>
        <w:spacing w:before="120"/>
        <w:ind w:firstLine="244"/>
        <w:jc w:val="both"/>
        <w:rPr>
          <w:sz w:val="24"/>
          <w:szCs w:val="24"/>
          <w:lang w:val="en-GB"/>
        </w:rPr>
      </w:pPr>
      <w:r>
        <w:rPr>
          <w:sz w:val="24"/>
          <w:szCs w:val="24"/>
          <w:lang w:val="en-GB"/>
        </w:rPr>
        <w:t xml:space="preserve">The second weakness concerns the posts the ensemble cannot agree on. Where all three analysers returned different labels there was no majority, and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signal is contested, or is carried by material none of them reads confidently. </w:t>
      </w:r>
      <w:r>
        <w:rPr>
          <w:sz w:val="24"/>
          <w:szCs w:val="24"/>
        </w:rPr>
        <w:t>That description fits the heavily code-switched and particle-laden cases Section 2 identified as the hardest to annotate</w:t>
      </w:r>
      <w:r>
        <w:rPr>
          <w:sz w:val="24"/>
          <w:szCs w:val="24"/>
          <w:lang w:val="en-GB"/>
        </w:rPr>
        <w:t>. The rule therefore removes the examples a robust classifier would most need, and removes them systematically rather than at random.</w:t>
      </w:r>
    </w:p>
    <w:p w14:paraId="66728C49" w14:textId="77777777" w:rsidR="00CE6FEC" w:rsidRPr="00CE6FEC" w:rsidRDefault="00CE6FEC" w:rsidP="00CE6FEC">
      <w:pPr>
        <w:spacing w:before="120"/>
        <w:ind w:firstLine="244"/>
        <w:jc w:val="both"/>
        <w:rPr>
          <w:sz w:val="24"/>
          <w:szCs w:val="24"/>
          <w:lang w:val="en-GB"/>
        </w:rPr>
      </w:pPr>
      <w:r>
        <w:rPr>
          <w:sz w:val="24"/>
          <w:szCs w:val="24"/>
          <w:lang w:val="en-GB"/>
        </w:rPr>
        <w:t>The effect on the corpus can be computed from the paper's own tables, and it runs in the wrong direction. Removing the contested posts left the neutral count unchanged at 15,422 while reducing the total from 20,226 to 19,714, so the neutral share rose by roughly two percentage points. Taken with the first weakness, static voting has a double effect: it keeps the labels it is confident about and wrong about, and deletes the ones it is uncertain about and would have learned from.</w:t>
      </w:r>
    </w:p>
    <w:p w14:paraId="537CB1BF" w14:textId="77777777" w:rsidR="00E10A8D" w:rsidRPr="00E10A8D" w:rsidRDefault="00E10A8D" w:rsidP="00E10A8D">
      <w:pPr>
        <w:spacing w:before="120"/>
        <w:ind w:firstLine="244"/>
        <w:jc w:val="both"/>
        <w:rPr>
          <w:sz w:val="24"/>
          <w:szCs w:val="24"/>
          <w:lang w:val="en-GB"/>
        </w:rPr>
      </w:pPr>
      <w:r>
        <w:rPr>
          <w:sz w:val="24"/>
          <w:szCs w:val="24"/>
          <w:lang w:val="en-GB"/>
        </w:rPr>
        <w:t xml:space="preserve">The methodological literature on annotation supports treating that deletion as a loss rather than a cleanup. Uma et al. (2021) question the assumption that a single </w:t>
      </w:r>
      <w:r>
        <w:rPr>
          <w:sz w:val="24"/>
          <w:szCs w:val="24"/>
          <w:lang w:val="en-GB"/>
        </w:rPr>
        <w:lastRenderedPageBreak/>
        <w:t>correct interpretation exists for every item. On that view, the 512 discarded posts were not noise removed from the corpus but signal removed from it.</w:t>
      </w:r>
    </w:p>
    <w:p w14:paraId="71BBD56F" w14:textId="77777777" w:rsidR="00CE6FEC" w:rsidRDefault="00CE6FEC" w:rsidP="00CE6FEC">
      <w:pPr>
        <w:spacing w:before="120"/>
        <w:ind w:firstLine="244"/>
        <w:jc w:val="both"/>
        <w:rPr>
          <w:sz w:val="24"/>
          <w:szCs w:val="24"/>
          <w:lang w:val="en-GB"/>
        </w:rPr>
      </w:pPr>
      <w:r>
        <w:rPr>
          <w:sz w:val="24"/>
          <w:szCs w:val="24"/>
          <w:lang w:val="en-GB"/>
        </w:rPr>
        <w:t xml:space="preserve">What the reviewed literature does not contain is any evaluation of a better procedure on this data. </w:t>
      </w:r>
      <w:r>
        <w:rPr>
          <w:sz w:val="24"/>
          <w:szCs w:val="24"/>
        </w:rPr>
        <w:t xml:space="preserve">No study examined here adjudicates annotator disagreement </w:t>
      </w:r>
      <w:r>
        <w:rPr>
          <w:sz w:val="24"/>
          <w:szCs w:val="24"/>
          <w:lang w:val="en-GB"/>
        </w:rPr>
        <w:t>on Malaysian code-mixed sentiment text, and the premise that annotators of different types fail independently, which is what licenses aggregation in the first place, is asserted rather than measured on this material. The evidence assembled above suggests that independence fails when the annotators share a language gap, but a suggestion is not a measurement and this review does not treat it as one. Both points are recorded here and returned to in Section 6 as questions for future research.</w:t>
      </w:r>
    </w:p>
    <w:p w14:paraId="4DF7F67D" w14:textId="77777777" w:rsidR="000C3BC5" w:rsidRDefault="000C3BC5" w:rsidP="00B30939">
      <w:pPr>
        <w:jc w:val="both"/>
        <w:rPr>
          <w:sz w:val="24"/>
          <w:szCs w:val="24"/>
          <w:lang w:val="en-GB"/>
        </w:rPr>
      </w:pPr>
    </w:p>
    <w:p w14:paraId="3CB7FA4B" w14:textId="77777777" w:rsidR="000C3BC5" w:rsidRPr="006546A0" w:rsidRDefault="00C127AD" w:rsidP="000C3BC5">
      <w:pPr>
        <w:tabs>
          <w:tab w:val="left" w:pos="24"/>
        </w:tabs>
        <w:jc w:val="both"/>
        <w:rPr>
          <w:b/>
          <w:sz w:val="26"/>
          <w:szCs w:val="26"/>
        </w:rPr>
      </w:pPr>
      <w:r>
        <w:rPr>
          <w:b/>
          <w:sz w:val="26"/>
          <w:szCs w:val="26"/>
        </w:rPr>
        <w:t>4. Models as Annotation Instruments</w:t>
      </w:r>
    </w:p>
    <w:p w14:paraId="7909E3C3" w14:textId="77777777" w:rsidR="00A76001" w:rsidRPr="00A76001" w:rsidRDefault="00A76001" w:rsidP="00A76001">
      <w:pPr>
        <w:spacing w:before="120"/>
        <w:ind w:firstLine="244"/>
        <w:jc w:val="both"/>
        <w:rPr>
          <w:sz w:val="24"/>
          <w:szCs w:val="24"/>
          <w:lang w:val="en-GB"/>
        </w:rPr>
      </w:pPr>
      <w:r>
        <w:rPr>
          <w:sz w:val="24"/>
          <w:szCs w:val="24"/>
          <w:lang w:val="en-GB"/>
        </w:rPr>
        <w:t xml:space="preserve">Section 3 established that the choice of annotator determines which errors a corpus will contain. This section asks where each family of model is limited when used as an annotator. </w:t>
      </w:r>
      <w:r>
        <w:rPr>
          <w:sz w:val="24"/>
          <w:szCs w:val="24"/>
        </w:rPr>
        <w:t>Two families are examined: fine-tuned multilingual encoders, and generative models used directly as annotators.</w:t>
      </w:r>
      <w:r>
        <w:rPr>
          <w:sz w:val="24"/>
          <w:szCs w:val="24"/>
          <w:lang w:val="en-GB"/>
        </w:rPr>
        <w:t xml:space="preserve"> The question is not which architecture classifies best, which belongs to the comparative benchmarking placed outside the scope in Section 1. It is what each family cannot read, because that limitation is inherited by every corpus it labels.</w:t>
      </w:r>
    </w:p>
    <w:p w14:paraId="0B73ABDA" w14:textId="77777777" w:rsidR="00A76001" w:rsidRPr="00A76001" w:rsidRDefault="00A76001" w:rsidP="00A76001">
      <w:pPr>
        <w:spacing w:before="120"/>
        <w:ind w:firstLine="244"/>
        <w:jc w:val="both"/>
        <w:rPr>
          <w:sz w:val="24"/>
          <w:szCs w:val="24"/>
          <w:lang w:val="en-GB"/>
        </w:rPr>
      </w:pPr>
      <w:r>
        <w:rPr>
          <w:sz w:val="24"/>
          <w:szCs w:val="24"/>
          <w:lang w:val="en-GB"/>
        </w:rPr>
        <w:t xml:space="preserve">Fine-tuned multilingual encoders acquire their competence from exposure. </w:t>
      </w:r>
      <w:r>
        <w:rPr>
          <w:sz w:val="24"/>
          <w:szCs w:val="24"/>
        </w:rPr>
        <w:t>An encoder here is a model that reads text and produces representations of it, rather than generating new text.</w:t>
      </w:r>
      <w:r>
        <w:rPr>
          <w:sz w:val="24"/>
          <w:szCs w:val="24"/>
          <w:lang w:val="en-GB"/>
        </w:rPr>
        <w:t xml:space="preserve"> Manukonda and Kodali (2025) illustrate the mechanism. </w:t>
      </w:r>
      <w:r>
        <w:rPr>
          <w:sz w:val="24"/>
          <w:szCs w:val="24"/>
        </w:rPr>
        <w:t>They fine-tuned XLM-RoBERTa, a multilingual encoder model, over original, fully transliterated and partially transliterated versions of the same text, and report a macro F1 of 0.90 on the shared-task test set. The training method was masked language modelling, in which the model predicts words hidden from the input. Macro F1 is the mean of the per-class F1 scores, and F1 is the harmonic mean of precision and recall</w:t>
      </w:r>
      <w:r>
        <w:rPr>
          <w:sz w:val="24"/>
          <w:szCs w:val="24"/>
          <w:lang w:val="en-GB"/>
        </w:rPr>
        <w:t>. The model handled the variant spellings because it had been shown them in training. A corollary follows from the method rather than from any claim the authors make. An encoder resolves the variation it has been trained on, so the coverage of a fine-tuned annotator is bounded by the coverage of its fine-tuning data. Extending that coverage requires more annotated or transliterated regional data, which is the resource whose scarcity motivated automated annotation in the first place. Two limits should be noted: the study is a shared-task system description rather than a full investigation, and the task is fake news detection in Malayalam rather than sentiment analysis in Malay. What transfers is the mechanism, not the result.</w:t>
      </w:r>
    </w:p>
    <w:p w14:paraId="6F946EFC" w14:textId="77777777" w:rsidR="00A76001" w:rsidRPr="00A76001" w:rsidRDefault="00835475" w:rsidP="00A76001">
      <w:pPr>
        <w:spacing w:before="120"/>
        <w:ind w:firstLine="244"/>
        <w:jc w:val="both"/>
        <w:rPr>
          <w:sz w:val="24"/>
          <w:szCs w:val="24"/>
          <w:lang w:val="en-GB"/>
        </w:rPr>
      </w:pPr>
      <w:r>
        <w:rPr>
          <w:sz w:val="24"/>
          <w:szCs w:val="24"/>
        </w:rPr>
        <w:t>Generative models locate their competence differently. Section 3.1 described the capability that follows from not being restricted to a fixed vocabulary. It is the capability the encoder lacks, and it is why generative annotation is attractive for a variety that changes faster than its resources.</w:t>
      </w:r>
      <w:r>
        <w:rPr>
          <w:sz w:val="24"/>
          <w:szCs w:val="24"/>
          <w:lang w:val="en-GB"/>
        </w:rPr>
        <w:t xml:space="preserve"> The competence is distributed unevenly across languages, and not in the way resource volume alone would predict. Jadhav et al. (2025) found frontier models trailing a fine-tuned BERT baseline by 10.2% and 14.1% accuracy when annotating Marathi. Adilazuarda et al. (2022) tested Indonesian code-mixed with four embedded languages, namely English, Sundanese, Javanese and Malay, and found robustness to English mixing lower than </w:t>
      </w:r>
      <w:r>
        <w:rPr>
          <w:sz w:val="24"/>
          <w:szCs w:val="24"/>
          <w:lang w:val="en-GB"/>
        </w:rPr>
        <w:lastRenderedPageBreak/>
        <w:t>robustness to Javanese and Malay mixing across all models tested. They attribute the difference to the composition of the pre-training corpus. The direction of that result should be stated explicitly. The embedded language best represented in pre-training was the one the models handled least robustly. Robustness to code-mixing therefore does not follow directly from how much of a language a model has seen.</w:t>
      </w:r>
    </w:p>
    <w:p w14:paraId="2C729A81" w14:textId="77777777" w:rsidR="00A76001" w:rsidRDefault="00A76001" w:rsidP="00A76001">
      <w:pPr>
        <w:spacing w:before="120"/>
        <w:ind w:firstLine="244"/>
        <w:jc w:val="both"/>
        <w:rPr>
          <w:sz w:val="24"/>
          <w:szCs w:val="24"/>
          <w:lang w:val="en-GB"/>
        </w:rPr>
      </w:pPr>
      <w:r>
        <w:rPr>
          <w:sz w:val="24"/>
          <w:szCs w:val="24"/>
          <w:lang w:val="en-GB"/>
        </w:rPr>
        <w:t>The operative point is not the relative standing of the two families but the shape of their respective limitations. The encoder is reliable on what it has been shown and blind to what it has not. The generative model reasons about the unfamiliar, but its robustness on a given language pair cannot be predicted from the volume of data behind either language. Selecting an annotator is therefore not selecting a level of quality. It is selecting a failure mode, and the labels a corpus contains carry the signature of whichever mode was selected.</w:t>
      </w:r>
    </w:p>
    <w:p w14:paraId="439E2280" w14:textId="77777777" w:rsidR="00FD39E7" w:rsidRDefault="00FD39E7" w:rsidP="00A76001">
      <w:pPr>
        <w:spacing w:before="120"/>
        <w:ind w:firstLine="244"/>
        <w:jc w:val="both"/>
        <w:rPr>
          <w:sz w:val="24"/>
          <w:szCs w:val="24"/>
          <w:lang w:val="en-GB"/>
        </w:rPr>
      </w:pPr>
    </w:p>
    <w:p w14:paraId="249E67F6" w14:textId="77777777" w:rsidR="00FD39E7" w:rsidRPr="006546A0" w:rsidRDefault="00C127AD" w:rsidP="00FD39E7">
      <w:pPr>
        <w:tabs>
          <w:tab w:val="left" w:pos="24"/>
        </w:tabs>
        <w:jc w:val="both"/>
        <w:rPr>
          <w:b/>
          <w:sz w:val="26"/>
          <w:szCs w:val="26"/>
        </w:rPr>
      </w:pPr>
      <w:r>
        <w:rPr>
          <w:b/>
          <w:sz w:val="26"/>
          <w:szCs w:val="26"/>
        </w:rPr>
        <w:t>5. Evaluating Annotation Reliability</w:t>
      </w:r>
    </w:p>
    <w:p w14:paraId="6C070B93" w14:textId="77777777" w:rsidR="00FD39E7" w:rsidRPr="00FD39E7" w:rsidRDefault="00FD39E7" w:rsidP="00FD39E7">
      <w:pPr>
        <w:spacing w:before="120"/>
        <w:ind w:firstLine="244"/>
        <w:jc w:val="both"/>
        <w:rPr>
          <w:sz w:val="24"/>
          <w:szCs w:val="24"/>
          <w:lang w:val="en-GB"/>
        </w:rPr>
      </w:pPr>
      <w:r>
        <w:rPr>
          <w:sz w:val="24"/>
          <w:szCs w:val="24"/>
          <w:lang w:val="en-GB"/>
        </w:rPr>
        <w:t>Sections 3 and 4 concerned how labels are produced. This section concerns how the labels that result are shown to be sound. Reliability is normally demonstrated with a chance-corrected agreement coefficient, of which Cohen's κ is the most widely used (</w:t>
      </w:r>
      <w:r>
        <w:rPr>
          <w:sz w:val="24"/>
          <w:szCs w:val="24"/>
        </w:rPr>
        <w:t xml:space="preserve">Cohen, 1960; Artstein and Poesio, 2008). </w:t>
      </w:r>
      <w:r>
        <w:rPr>
          <w:sz w:val="24"/>
          <w:szCs w:val="24"/>
          <w:lang w:val="en-GB"/>
        </w:rPr>
        <w:t>The coefficient measures how far the agreement two annotators actually reach exceeds the agreement expected by chance. Magnitudes are then read against conventions. In computational linguistics, values above 0.8 are generally treated as good reliability, and values between 0.67 and 0.8 as allowing tentative conclusions (Artstein and Poesio, 2008).</w:t>
      </w:r>
    </w:p>
    <w:p w14:paraId="655403FB" w14:textId="77777777" w:rsidR="00FD39E7" w:rsidRPr="00FD39E7" w:rsidRDefault="00FD39E7" w:rsidP="00FD39E7">
      <w:pPr>
        <w:spacing w:before="120"/>
        <w:ind w:firstLine="244"/>
        <w:jc w:val="both"/>
        <w:rPr>
          <w:sz w:val="24"/>
          <w:szCs w:val="24"/>
          <w:lang w:val="en-GB"/>
        </w:rPr>
      </w:pPr>
      <w:r>
        <w:rPr>
          <w:sz w:val="24"/>
          <w:szCs w:val="24"/>
          <w:lang w:val="en-GB"/>
        </w:rPr>
        <w:t>Those conventions assume that expected chance agreement is stable across datasets, and it is not. Feinstein and Cicchetti (1990) show that an imbalance in the marginal totals of an agreement table can convert a high observed agreement into a low coefficient. Their worked example illustrates the effect. Holding observed agreement at 0.85, an expected chance agreement of 0.50 yields κ = 0.70, while an expected chance agreement of 0.78 yields κ = 0.32. The annotators agreed on the same 85% of items in both cases. Byrt et al. (1993) formalise the effect, showing that κ reflects the distribution of data across categories as well as agreement, and propose a prevalence-adjusted coefficient in response. Di Eugenio and Glass (2004) name the effect the prevalence problem, and report a case in which two coders agreeing on 90 of 100 items yield κ values ranging from −0.048 to 0.80, depending only on how the two categories are distributed. Artstein and Poesio (2008) state the consequence for annotation directly: when one category is very common, high agreement can result from indiscriminate coding rather than from an ability to distinguish between categories.</w:t>
      </w:r>
    </w:p>
    <w:p w14:paraId="63299E81" w14:textId="77777777" w:rsidR="00FD39E7" w:rsidRDefault="00FD39E7" w:rsidP="00FD39E7">
      <w:pPr>
        <w:spacing w:before="120"/>
        <w:ind w:firstLine="244"/>
        <w:jc w:val="both"/>
        <w:rPr>
          <w:sz w:val="24"/>
          <w:szCs w:val="24"/>
          <w:lang w:val="en-GB"/>
        </w:rPr>
      </w:pPr>
      <w:r>
        <w:rPr>
          <w:sz w:val="24"/>
          <w:szCs w:val="24"/>
          <w:lang w:val="en-GB"/>
        </w:rPr>
        <w:t xml:space="preserve">That is the condition Malaysian code-mixed sentiment data is in. Section 3 established that the labelling methods available for this text produce heavily skewed class distributions, the largest corpus standing at 78.23% neutral. A skew of that size raises expected chance agreement, which is the quantity the correction depends on. The property that makes the labels unrepresentative is therefore the property that makes the statistic used to check them difficult to read. The difficulty runs in both directions. A low coefficient may indicate unreliable annotation, or a dominant </w:t>
      </w:r>
      <w:r>
        <w:rPr>
          <w:sz w:val="24"/>
          <w:szCs w:val="24"/>
          <w:lang w:val="en-GB"/>
        </w:rPr>
        <w:lastRenderedPageBreak/>
        <w:t>class. A high one may indicate reliable annotation, or indiscriminate coding. Neither reading can be ruled out from the coefficient alone. This is the sense in which the annotation problem and the evaluation problem are one problem rather than two, and the reason correcting either alone leaves the other in place.</w:t>
      </w:r>
    </w:p>
    <w:p w14:paraId="4EB2B166" w14:textId="77777777" w:rsidR="00867116" w:rsidRPr="00867116" w:rsidRDefault="00867116" w:rsidP="00867116">
      <w:pPr>
        <w:spacing w:before="120"/>
        <w:ind w:firstLine="244"/>
        <w:jc w:val="both"/>
        <w:rPr>
          <w:sz w:val="24"/>
          <w:szCs w:val="24"/>
          <w:lang w:val="en-GB"/>
        </w:rPr>
      </w:pPr>
      <w:r>
        <w:rPr>
          <w:sz w:val="24"/>
          <w:szCs w:val="24"/>
          <w:lang w:val="en-GB"/>
        </w:rPr>
        <w:t>What the four regional corpora report about their own reliability is set out in Table 3.</w:t>
      </w:r>
    </w:p>
    <w:p w14:paraId="384C7D88" w14:textId="77777777" w:rsidR="00D714BA" w:rsidRPr="00867116" w:rsidRDefault="00867116" w:rsidP="00867116">
      <w:pPr>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64F081AA" w14:textId="77777777" w:rsidTr="00725006">
        <w:trPr>
          <w:jc w:val="center"/>
        </w:trPr>
        <w:tc>
          <w:tcPr>
            <w:tcW w:w="1073" w:type="pct"/>
            <w:shd w:val="clear" w:color="auto" w:fill="4BACC6"/>
            <w:vAlign w:val="center"/>
          </w:tcPr>
          <w:p w14:paraId="69789E53" w14:textId="77777777" w:rsidR="00867116" w:rsidRDefault="00867116" w:rsidP="00867116">
            <w:pPr>
              <w:tabs>
                <w:tab w:val="left" w:pos="24"/>
              </w:tabs>
              <w:jc w:val="both"/>
              <w:rPr>
                <w:b/>
                <w:color w:val="FFFFFF"/>
                <w:sz w:val="24"/>
                <w:szCs w:val="24"/>
              </w:rPr>
            </w:pPr>
            <w:r>
              <w:rPr>
                <w:b/>
                <w:bCs/>
                <w:sz w:val="24"/>
                <w:szCs w:val="24"/>
                <w:lang w:val="en-GB"/>
              </w:rPr>
              <w:t>Corpus</w:t>
            </w:r>
          </w:p>
        </w:tc>
        <w:tc>
          <w:tcPr>
            <w:tcW w:w="914" w:type="pct"/>
            <w:shd w:val="clear" w:color="auto" w:fill="4BACC6"/>
            <w:vAlign w:val="center"/>
          </w:tcPr>
          <w:p w14:paraId="535EC0C6" w14:textId="77777777" w:rsidR="00867116" w:rsidRDefault="00867116" w:rsidP="00867116">
            <w:pPr>
              <w:tabs>
                <w:tab w:val="left" w:pos="24"/>
              </w:tabs>
              <w:jc w:val="both"/>
              <w:rPr>
                <w:b/>
                <w:color w:val="FFFFFF"/>
                <w:sz w:val="24"/>
                <w:szCs w:val="24"/>
              </w:rPr>
            </w:pPr>
            <w:r>
              <w:rPr>
                <w:b/>
                <w:bCs/>
                <w:sz w:val="24"/>
                <w:szCs w:val="24"/>
                <w:lang w:val="en-GB"/>
              </w:rPr>
              <w:t>Annotators</w:t>
            </w:r>
          </w:p>
        </w:tc>
        <w:tc>
          <w:tcPr>
            <w:tcW w:w="755" w:type="pct"/>
            <w:shd w:val="clear" w:color="auto" w:fill="4BACC6"/>
            <w:vAlign w:val="center"/>
          </w:tcPr>
          <w:p w14:paraId="751657F9" w14:textId="77777777" w:rsidR="00867116" w:rsidRDefault="00867116" w:rsidP="00867116">
            <w:pPr>
              <w:tabs>
                <w:tab w:val="left" w:pos="24"/>
              </w:tabs>
              <w:jc w:val="both"/>
              <w:rPr>
                <w:b/>
                <w:color w:val="FFFFFF"/>
                <w:sz w:val="24"/>
                <w:szCs w:val="24"/>
              </w:rPr>
            </w:pPr>
            <w:r>
              <w:rPr>
                <w:b/>
                <w:bCs/>
                <w:sz w:val="24"/>
                <w:szCs w:val="24"/>
                <w:lang w:val="en-GB"/>
              </w:rPr>
              <w:t>Written guideline</w:t>
            </w:r>
          </w:p>
        </w:tc>
        <w:tc>
          <w:tcPr>
            <w:tcW w:w="779" w:type="pct"/>
            <w:shd w:val="clear" w:color="auto" w:fill="4BACC6"/>
            <w:vAlign w:val="center"/>
          </w:tcPr>
          <w:p w14:paraId="7539E8CF" w14:textId="77777777" w:rsidR="00867116" w:rsidRDefault="00867116" w:rsidP="00867116">
            <w:pPr>
              <w:tabs>
                <w:tab w:val="left" w:pos="24"/>
              </w:tabs>
              <w:jc w:val="both"/>
              <w:rPr>
                <w:b/>
                <w:color w:val="FFFFFF"/>
                <w:sz w:val="24"/>
                <w:szCs w:val="24"/>
              </w:rPr>
            </w:pPr>
            <w:r>
              <w:rPr>
                <w:b/>
                <w:bCs/>
                <w:sz w:val="24"/>
                <w:szCs w:val="24"/>
                <w:lang w:val="en-GB"/>
              </w:rPr>
              <w:t>Coefficient reported</w:t>
            </w:r>
          </w:p>
        </w:tc>
        <w:tc>
          <w:tcPr>
            <w:tcW w:w="1480" w:type="pct"/>
            <w:shd w:val="clear" w:color="auto" w:fill="4BACC6"/>
          </w:tcPr>
          <w:p w14:paraId="49A5490E" w14:textId="77777777" w:rsidR="00867116" w:rsidRPr="00867116" w:rsidRDefault="00867116" w:rsidP="00867116">
            <w:pPr>
              <w:tabs>
                <w:tab w:val="left" w:pos="24"/>
              </w:tabs>
              <w:jc w:val="both"/>
              <w:rPr>
                <w:b/>
                <w:bCs/>
                <w:sz w:val="24"/>
                <w:szCs w:val="24"/>
                <w:lang w:val="en-GB"/>
              </w:rPr>
            </w:pPr>
            <w:r>
              <w:rPr>
                <w:b/>
                <w:bCs/>
                <w:sz w:val="24"/>
                <w:szCs w:val="24"/>
                <w:lang w:val="en-GB"/>
              </w:rPr>
              <w:t>What the coefficient measured</w:t>
            </w:r>
          </w:p>
        </w:tc>
      </w:tr>
      <w:tr w:rsidR="00867116" w14:paraId="16B632AD" w14:textId="77777777" w:rsidTr="00725006">
        <w:trPr>
          <w:jc w:val="center"/>
        </w:trPr>
        <w:tc>
          <w:tcPr>
            <w:tcW w:w="1073" w:type="pct"/>
            <w:shd w:val="clear" w:color="auto" w:fill="4BACC6"/>
            <w:vAlign w:val="center"/>
          </w:tcPr>
          <w:p w14:paraId="79AB3FF4" w14:textId="77777777" w:rsidR="00867116" w:rsidRDefault="00867116" w:rsidP="00867116">
            <w:pPr>
              <w:tabs>
                <w:tab w:val="left" w:pos="24"/>
              </w:tabs>
              <w:jc w:val="both"/>
              <w:rPr>
                <w:b/>
                <w:color w:val="FFFFFF"/>
                <w:sz w:val="24"/>
                <w:szCs w:val="24"/>
              </w:rPr>
            </w:pPr>
            <w:r>
              <w:rPr>
                <w:sz w:val="24"/>
                <w:szCs w:val="24"/>
                <w:lang w:val="en-GB"/>
              </w:rPr>
              <w:t>MESocSentiment (Mohd Shamsuddin et al., 2024)</w:t>
            </w:r>
          </w:p>
        </w:tc>
        <w:tc>
          <w:tcPr>
            <w:tcW w:w="914" w:type="pct"/>
            <w:shd w:val="clear" w:color="auto" w:fill="D8D8D8"/>
            <w:vAlign w:val="center"/>
          </w:tcPr>
          <w:p w14:paraId="39C174BE" w14:textId="77777777" w:rsidR="00867116" w:rsidRDefault="00867116" w:rsidP="00867116">
            <w:pPr>
              <w:tabs>
                <w:tab w:val="left" w:pos="24"/>
              </w:tabs>
              <w:jc w:val="both"/>
              <w:rPr>
                <w:sz w:val="24"/>
                <w:szCs w:val="24"/>
              </w:rPr>
            </w:pPr>
            <w:r>
              <w:rPr>
                <w:sz w:val="24"/>
                <w:szCs w:val="24"/>
                <w:lang w:val="en-GB"/>
              </w:rPr>
              <w:t>None; three automatic analysers</w:t>
            </w:r>
          </w:p>
        </w:tc>
        <w:tc>
          <w:tcPr>
            <w:tcW w:w="755" w:type="pct"/>
            <w:shd w:val="clear" w:color="auto" w:fill="D8D8D8"/>
            <w:vAlign w:val="center"/>
          </w:tcPr>
          <w:p w14:paraId="4DA875AA" w14:textId="77777777" w:rsidR="00867116" w:rsidRDefault="00867116" w:rsidP="00867116">
            <w:pPr>
              <w:tabs>
                <w:tab w:val="left" w:pos="24"/>
              </w:tabs>
              <w:jc w:val="both"/>
              <w:rPr>
                <w:sz w:val="24"/>
                <w:szCs w:val="24"/>
              </w:rPr>
            </w:pPr>
            <w:r>
              <w:rPr>
                <w:sz w:val="24"/>
                <w:szCs w:val="24"/>
                <w:lang w:val="en-GB"/>
              </w:rPr>
              <w:t>Not applicable</w:t>
            </w:r>
          </w:p>
        </w:tc>
        <w:tc>
          <w:tcPr>
            <w:tcW w:w="779" w:type="pct"/>
            <w:shd w:val="clear" w:color="auto" w:fill="D8D8D8"/>
            <w:vAlign w:val="center"/>
          </w:tcPr>
          <w:p w14:paraId="52B6D007" w14:textId="77777777" w:rsidR="00867116" w:rsidRDefault="00867116" w:rsidP="00867116">
            <w:pPr>
              <w:tabs>
                <w:tab w:val="left" w:pos="24"/>
              </w:tabs>
              <w:jc w:val="both"/>
              <w:rPr>
                <w:sz w:val="24"/>
                <w:szCs w:val="24"/>
              </w:rPr>
            </w:pPr>
            <w:r>
              <w:rPr>
                <w:sz w:val="24"/>
                <w:szCs w:val="24"/>
                <w:lang w:val="en-GB"/>
              </w:rPr>
              <w:t>None</w:t>
            </w:r>
          </w:p>
        </w:tc>
        <w:tc>
          <w:tcPr>
            <w:tcW w:w="1480" w:type="pct"/>
            <w:shd w:val="clear" w:color="auto" w:fill="D8D8D8"/>
            <w:vAlign w:val="center"/>
          </w:tcPr>
          <w:p w14:paraId="4A576B24"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5875CEFA" w14:textId="77777777" w:rsidTr="00725006">
        <w:trPr>
          <w:jc w:val="center"/>
        </w:trPr>
        <w:tc>
          <w:tcPr>
            <w:tcW w:w="1073" w:type="pct"/>
            <w:shd w:val="clear" w:color="auto" w:fill="4BACC6"/>
            <w:vAlign w:val="center"/>
          </w:tcPr>
          <w:p w14:paraId="66C2CE38" w14:textId="77777777" w:rsidR="00867116" w:rsidRDefault="00867116" w:rsidP="00867116">
            <w:pPr>
              <w:tabs>
                <w:tab w:val="left" w:pos="24"/>
              </w:tabs>
              <w:jc w:val="both"/>
              <w:rPr>
                <w:b/>
                <w:color w:val="FFFFFF"/>
                <w:sz w:val="24"/>
                <w:szCs w:val="24"/>
              </w:rPr>
            </w:pPr>
            <w:r>
              <w:rPr>
                <w:sz w:val="24"/>
                <w:szCs w:val="24"/>
                <w:lang w:val="en-GB"/>
              </w:rPr>
              <w:t>MyCovid-Senti (Kong et al., 2023)</w:t>
            </w:r>
          </w:p>
        </w:tc>
        <w:tc>
          <w:tcPr>
            <w:tcW w:w="914" w:type="pct"/>
            <w:vAlign w:val="center"/>
          </w:tcPr>
          <w:p w14:paraId="5A6E1D19" w14:textId="77777777" w:rsidR="00867116" w:rsidRDefault="00867116" w:rsidP="00867116">
            <w:pPr>
              <w:tabs>
                <w:tab w:val="left" w:pos="24"/>
              </w:tabs>
              <w:jc w:val="both"/>
              <w:rPr>
                <w:sz w:val="24"/>
                <w:szCs w:val="24"/>
              </w:rPr>
            </w:pPr>
            <w:r>
              <w:rPr>
                <w:sz w:val="24"/>
                <w:szCs w:val="24"/>
                <w:lang w:val="en-GB"/>
              </w:rPr>
              <w:t>Three, independent</w:t>
            </w:r>
          </w:p>
        </w:tc>
        <w:tc>
          <w:tcPr>
            <w:tcW w:w="755" w:type="pct"/>
            <w:vAlign w:val="center"/>
          </w:tcPr>
          <w:p w14:paraId="4D5F315B" w14:textId="77777777" w:rsidR="00867116" w:rsidRDefault="00867116" w:rsidP="00867116">
            <w:pPr>
              <w:tabs>
                <w:tab w:val="left" w:pos="24"/>
              </w:tabs>
              <w:jc w:val="both"/>
              <w:rPr>
                <w:sz w:val="24"/>
                <w:szCs w:val="24"/>
              </w:rPr>
            </w:pPr>
            <w:r>
              <w:rPr>
                <w:sz w:val="24"/>
                <w:szCs w:val="24"/>
                <w:lang w:val="en-GB"/>
              </w:rPr>
              <w:t>Yes</w:t>
            </w:r>
          </w:p>
        </w:tc>
        <w:tc>
          <w:tcPr>
            <w:tcW w:w="779" w:type="pct"/>
            <w:vAlign w:val="center"/>
          </w:tcPr>
          <w:p w14:paraId="57F551C4" w14:textId="77777777" w:rsidR="00867116" w:rsidRDefault="00867116" w:rsidP="00867116">
            <w:pPr>
              <w:tabs>
                <w:tab w:val="left" w:pos="24"/>
              </w:tabs>
              <w:jc w:val="both"/>
              <w:rPr>
                <w:sz w:val="24"/>
                <w:szCs w:val="24"/>
              </w:rPr>
            </w:pPr>
            <w:r>
              <w:rPr>
                <w:sz w:val="24"/>
                <w:szCs w:val="24"/>
                <w:lang w:val="en-GB"/>
              </w:rPr>
              <w:t>None</w:t>
            </w:r>
          </w:p>
        </w:tc>
        <w:tc>
          <w:tcPr>
            <w:tcW w:w="1480" w:type="pct"/>
            <w:vAlign w:val="center"/>
          </w:tcPr>
          <w:p w14:paraId="794EA0A5"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4F8514A8" w14:textId="77777777" w:rsidTr="00725006">
        <w:trPr>
          <w:jc w:val="center"/>
        </w:trPr>
        <w:tc>
          <w:tcPr>
            <w:tcW w:w="1073" w:type="pct"/>
            <w:shd w:val="clear" w:color="auto" w:fill="4BACC6"/>
            <w:vAlign w:val="center"/>
          </w:tcPr>
          <w:p w14:paraId="3A924289" w14:textId="77777777" w:rsidR="00867116" w:rsidRDefault="00867116" w:rsidP="00867116">
            <w:pPr>
              <w:tabs>
                <w:tab w:val="left" w:pos="24"/>
              </w:tabs>
              <w:jc w:val="both"/>
              <w:rPr>
                <w:b/>
                <w:color w:val="FFFFFF"/>
                <w:sz w:val="24"/>
                <w:szCs w:val="24"/>
              </w:rPr>
            </w:pPr>
            <w:r>
              <w:rPr>
                <w:sz w:val="24"/>
                <w:szCs w:val="24"/>
                <w:lang w:val="en-GB"/>
              </w:rPr>
              <w:t>MY-EN-CS (Kasmuri and Basiron, 2019)</w:t>
            </w:r>
          </w:p>
        </w:tc>
        <w:tc>
          <w:tcPr>
            <w:tcW w:w="914" w:type="pct"/>
            <w:shd w:val="clear" w:color="auto" w:fill="D8D8D8"/>
            <w:vAlign w:val="center"/>
          </w:tcPr>
          <w:p w14:paraId="180F42F6" w14:textId="77777777" w:rsidR="00867116" w:rsidRDefault="00867116" w:rsidP="00867116">
            <w:pPr>
              <w:tabs>
                <w:tab w:val="left" w:pos="24"/>
              </w:tabs>
              <w:jc w:val="both"/>
              <w:rPr>
                <w:sz w:val="24"/>
                <w:szCs w:val="24"/>
              </w:rPr>
            </w:pPr>
            <w:r>
              <w:rPr>
                <w:sz w:val="24"/>
                <w:szCs w:val="24"/>
                <w:lang w:val="en-GB"/>
              </w:rPr>
              <w:t>Two undergraduates proficient in Malay and English</w:t>
            </w:r>
          </w:p>
        </w:tc>
        <w:tc>
          <w:tcPr>
            <w:tcW w:w="755" w:type="pct"/>
            <w:shd w:val="clear" w:color="auto" w:fill="D8D8D8"/>
            <w:vAlign w:val="center"/>
          </w:tcPr>
          <w:p w14:paraId="1C888BE5" w14:textId="77777777" w:rsidR="00867116" w:rsidRDefault="00867116" w:rsidP="00867116">
            <w:pPr>
              <w:tabs>
                <w:tab w:val="left" w:pos="24"/>
              </w:tabs>
              <w:jc w:val="both"/>
              <w:rPr>
                <w:sz w:val="24"/>
                <w:szCs w:val="24"/>
              </w:rPr>
            </w:pPr>
            <w:r>
              <w:rPr>
                <w:sz w:val="24"/>
                <w:szCs w:val="24"/>
                <w:lang w:val="en-GB"/>
              </w:rPr>
              <w:t>Yes; the guideline is the paper's contribution</w:t>
            </w:r>
          </w:p>
        </w:tc>
        <w:tc>
          <w:tcPr>
            <w:tcW w:w="779" w:type="pct"/>
            <w:shd w:val="clear" w:color="auto" w:fill="D8D8D8"/>
            <w:vAlign w:val="center"/>
          </w:tcPr>
          <w:p w14:paraId="3D6B9055" w14:textId="77777777" w:rsidR="00867116" w:rsidRDefault="00867116" w:rsidP="00867116">
            <w:pPr>
              <w:tabs>
                <w:tab w:val="left" w:pos="24"/>
              </w:tabs>
              <w:jc w:val="both"/>
              <w:rPr>
                <w:sz w:val="24"/>
                <w:szCs w:val="24"/>
              </w:rPr>
            </w:pPr>
            <w:r>
              <w:rPr>
                <w:sz w:val="24"/>
                <w:szCs w:val="24"/>
                <w:lang w:val="en-GB"/>
              </w:rPr>
              <w:t>κ = 0.83</w:t>
            </w:r>
          </w:p>
        </w:tc>
        <w:tc>
          <w:tcPr>
            <w:tcW w:w="1480" w:type="pct"/>
            <w:shd w:val="clear" w:color="auto" w:fill="D8D8D8"/>
            <w:vAlign w:val="center"/>
          </w:tcPr>
          <w:p w14:paraId="628CD2EF" w14:textId="77777777" w:rsidR="00867116" w:rsidRPr="00D714BA" w:rsidRDefault="00867116" w:rsidP="00867116">
            <w:pPr>
              <w:tabs>
                <w:tab w:val="left" w:pos="24"/>
              </w:tabs>
              <w:jc w:val="both"/>
              <w:rPr>
                <w:sz w:val="24"/>
                <w:szCs w:val="24"/>
                <w:lang w:val="en-GB"/>
              </w:rPr>
            </w:pPr>
            <w:r>
              <w:rPr>
                <w:sz w:val="24"/>
                <w:szCs w:val="24"/>
                <w:lang w:val="en-GB"/>
              </w:rPr>
              <w:t>Whether a sentence is opinionated or factual</w:t>
            </w:r>
          </w:p>
        </w:tc>
      </w:tr>
      <w:tr w:rsidR="00867116" w:rsidRPr="00D714BA" w14:paraId="29810363" w14:textId="77777777" w:rsidTr="00725006">
        <w:trPr>
          <w:jc w:val="center"/>
        </w:trPr>
        <w:tc>
          <w:tcPr>
            <w:tcW w:w="1073" w:type="pct"/>
            <w:shd w:val="clear" w:color="auto" w:fill="4BACC6"/>
            <w:vAlign w:val="center"/>
          </w:tcPr>
          <w:p w14:paraId="3F765835" w14:textId="77777777" w:rsidR="00867116" w:rsidRPr="00D714BA" w:rsidRDefault="00867116" w:rsidP="00867116">
            <w:pPr>
              <w:tabs>
                <w:tab w:val="left" w:pos="24"/>
              </w:tabs>
              <w:jc w:val="both"/>
              <w:rPr>
                <w:sz w:val="24"/>
                <w:szCs w:val="24"/>
                <w:lang w:val="en-GB"/>
              </w:rPr>
            </w:pPr>
            <w:r>
              <w:rPr>
                <w:sz w:val="24"/>
                <w:szCs w:val="24"/>
                <w:lang w:val="en-GB"/>
              </w:rPr>
              <w:t>SentiBahasaRojak (Romadhona et al., 2022)</w:t>
            </w:r>
          </w:p>
        </w:tc>
        <w:tc>
          <w:tcPr>
            <w:tcW w:w="914" w:type="pct"/>
            <w:shd w:val="clear" w:color="auto" w:fill="D8D8D8"/>
            <w:vAlign w:val="center"/>
          </w:tcPr>
          <w:p w14:paraId="3A22C7AA" w14:textId="77777777" w:rsidR="00867116" w:rsidRPr="00D714BA" w:rsidRDefault="00867116" w:rsidP="00867116">
            <w:pPr>
              <w:tabs>
                <w:tab w:val="left" w:pos="24"/>
              </w:tabs>
              <w:jc w:val="both"/>
              <w:rPr>
                <w:sz w:val="24"/>
                <w:szCs w:val="24"/>
                <w:lang w:val="en-GB"/>
              </w:rPr>
            </w:pPr>
            <w:r>
              <w:rPr>
                <w:sz w:val="24"/>
                <w:szCs w:val="24"/>
                <w:lang w:val="en-GB"/>
              </w:rPr>
              <w:t>Five native Bahasa Rojak experts</w:t>
            </w:r>
          </w:p>
        </w:tc>
        <w:tc>
          <w:tcPr>
            <w:tcW w:w="755" w:type="pct"/>
            <w:shd w:val="clear" w:color="auto" w:fill="D8D8D8"/>
            <w:vAlign w:val="center"/>
          </w:tcPr>
          <w:p w14:paraId="63529980" w14:textId="77777777" w:rsidR="00867116" w:rsidRPr="00D714BA" w:rsidRDefault="00867116" w:rsidP="00867116">
            <w:pPr>
              <w:tabs>
                <w:tab w:val="left" w:pos="24"/>
              </w:tabs>
              <w:jc w:val="both"/>
              <w:rPr>
                <w:sz w:val="24"/>
                <w:szCs w:val="24"/>
                <w:lang w:val="en-GB"/>
              </w:rPr>
            </w:pPr>
            <w:r>
              <w:rPr>
                <w:sz w:val="24"/>
                <w:szCs w:val="24"/>
                <w:lang w:val="en-GB"/>
              </w:rPr>
              <w:t>Not stated</w:t>
            </w:r>
          </w:p>
        </w:tc>
        <w:tc>
          <w:tcPr>
            <w:tcW w:w="779" w:type="pct"/>
            <w:shd w:val="clear" w:color="auto" w:fill="D8D8D8"/>
            <w:vAlign w:val="center"/>
          </w:tcPr>
          <w:p w14:paraId="72D7AE0C" w14:textId="77777777" w:rsidR="00867116" w:rsidRPr="00D714BA" w:rsidRDefault="00867116" w:rsidP="00867116">
            <w:pPr>
              <w:tabs>
                <w:tab w:val="left" w:pos="24"/>
              </w:tabs>
              <w:jc w:val="both"/>
              <w:rPr>
                <w:sz w:val="24"/>
                <w:szCs w:val="24"/>
                <w:lang w:val="en-GB"/>
              </w:rPr>
            </w:pPr>
            <w:r>
              <w:rPr>
                <w:sz w:val="24"/>
                <w:szCs w:val="24"/>
                <w:lang w:val="en-GB"/>
              </w:rPr>
              <w:t>"Kappa" = 0.77; the variant is not specified</w:t>
            </w:r>
          </w:p>
        </w:tc>
        <w:tc>
          <w:tcPr>
            <w:tcW w:w="1480" w:type="pct"/>
            <w:shd w:val="clear" w:color="auto" w:fill="D8D8D8"/>
            <w:vAlign w:val="center"/>
          </w:tcPr>
          <w:p w14:paraId="573CE770" w14:textId="77777777" w:rsidR="00ED635A" w:rsidRPr="00ED635A" w:rsidRDefault="00ED635A" w:rsidP="00ED635A">
            <w:pPr>
              <w:tabs>
                <w:tab w:val="left" w:pos="24"/>
              </w:tabs>
              <w:jc w:val="both"/>
              <w:rPr>
                <w:sz w:val="24"/>
                <w:szCs w:val="24"/>
                <w:lang w:val="en-GB"/>
              </w:rPr>
            </w:pPr>
            <w:r>
              <w:rPr>
                <w:sz w:val="24"/>
                <w:szCs w:val="24"/>
                <w:lang w:val="en-GB"/>
              </w:rPr>
              <w:t>Whether a stock-market post is positive or negative; reported for the stock review subset only</w:t>
            </w:r>
          </w:p>
          <w:p w14:paraId="56878EE0" w14:textId="77777777" w:rsidR="00867116" w:rsidRPr="00D714BA" w:rsidRDefault="00867116" w:rsidP="00867116">
            <w:pPr>
              <w:tabs>
                <w:tab w:val="left" w:pos="24"/>
              </w:tabs>
              <w:jc w:val="both"/>
              <w:rPr>
                <w:sz w:val="24"/>
                <w:szCs w:val="24"/>
                <w:lang w:val="en-GB"/>
              </w:rPr>
            </w:pPr>
          </w:p>
        </w:tc>
      </w:tr>
    </w:tbl>
    <w:p w14:paraId="556BC8E7" w14:textId="77777777" w:rsidR="00867116" w:rsidRPr="00867116" w:rsidRDefault="00867116" w:rsidP="00867116">
      <w:pPr>
        <w:spacing w:before="120"/>
        <w:ind w:firstLine="244"/>
        <w:jc w:val="both"/>
        <w:rPr>
          <w:sz w:val="24"/>
          <w:szCs w:val="24"/>
          <w:lang w:val="en-GB"/>
        </w:rPr>
      </w:pPr>
      <w:r>
        <w:rPr>
          <w:sz w:val="24"/>
          <w:szCs w:val="24"/>
          <w:lang w:val="en-GB"/>
        </w:rPr>
        <w:t>Three observations follow. Half of the regional corpora report no agreement coefficient at all, including one annotated by three people working from a written guideline. The two coefficients that are reported were obtained for binary judgements, and neither is the three-class polarity task the corpora are used to support. Romadhona et al. (2022) report a kappa value without stating which coefficient it is. Their annotation used five experts with the final label set by majority vote, and Cohen's κ is defined for two annotators.</w:t>
      </w:r>
    </w:p>
    <w:p w14:paraId="23071AE4" w14:textId="77777777" w:rsidR="00867116" w:rsidRDefault="00455F1A" w:rsidP="00867116">
      <w:pPr>
        <w:spacing w:before="120"/>
        <w:ind w:firstLine="244"/>
        <w:jc w:val="both"/>
        <w:rPr>
          <w:sz w:val="24"/>
          <w:szCs w:val="24"/>
          <w:lang w:val="en-GB"/>
        </w:rPr>
      </w:pPr>
      <w:r>
        <w:rPr>
          <w:sz w:val="24"/>
          <w:szCs w:val="24"/>
        </w:rPr>
        <w:t>None of the four corpora examined here therefore supplies what a reliability claim requires</w:t>
      </w:r>
      <w:r>
        <w:rPr>
          <w:sz w:val="24"/>
          <w:szCs w:val="24"/>
          <w:lang w:val="en-GB"/>
        </w:rPr>
        <w:t>: a coefficient of a stated type, computed for the task the labels are used for, over annotators whose number and qualification are recorded. A corpus that did supply them would still face the interpretation problem above, because the class distributions these methods produce are the distributions under which the coefficient becomes hard to read. Establishing reliability for this data is not only unreported. With the instruments currently in use, it is not clearly achievable.</w:t>
      </w:r>
    </w:p>
    <w:p w14:paraId="629F4F8E" w14:textId="77777777" w:rsidR="003E79DB" w:rsidRDefault="003E79DB" w:rsidP="003E79DB">
      <w:pPr>
        <w:tabs>
          <w:tab w:val="left" w:pos="24"/>
        </w:tabs>
        <w:jc w:val="both"/>
        <w:rPr>
          <w:b/>
          <w:sz w:val="26"/>
          <w:szCs w:val="26"/>
        </w:rPr>
      </w:pPr>
    </w:p>
    <w:p w14:paraId="14BBD34E" w14:textId="77777777" w:rsidR="003E79DB" w:rsidRPr="006546A0" w:rsidRDefault="00C127AD" w:rsidP="003E79DB">
      <w:pPr>
        <w:tabs>
          <w:tab w:val="left" w:pos="24"/>
        </w:tabs>
        <w:jc w:val="both"/>
        <w:rPr>
          <w:b/>
          <w:sz w:val="26"/>
          <w:szCs w:val="26"/>
        </w:rPr>
      </w:pPr>
      <w:r>
        <w:rPr>
          <w:b/>
          <w:sz w:val="26"/>
          <w:szCs w:val="26"/>
        </w:rPr>
        <w:t>6. Synthesis: How the Challenges Compound</w:t>
      </w:r>
    </w:p>
    <w:p w14:paraId="04A60D37" w14:textId="77777777" w:rsidR="003E79DB" w:rsidRPr="003E79DB" w:rsidRDefault="003E79DB" w:rsidP="003E79DB">
      <w:pPr>
        <w:spacing w:before="120"/>
        <w:ind w:firstLine="244"/>
        <w:jc w:val="both"/>
        <w:rPr>
          <w:sz w:val="24"/>
          <w:szCs w:val="24"/>
          <w:lang w:val="en-GB"/>
        </w:rPr>
      </w:pPr>
      <w:r>
        <w:rPr>
          <w:sz w:val="24"/>
          <w:szCs w:val="24"/>
          <w:lang w:val="en-GB"/>
        </w:rPr>
        <w:t xml:space="preserve">Sections 2 to 5 examined linguistic structure, annotation practice, model capability and reliability measurement in turn, </w:t>
      </w:r>
      <w:r>
        <w:rPr>
          <w:sz w:val="24"/>
          <w:szCs w:val="24"/>
        </w:rPr>
        <w:t xml:space="preserve">which is how the studies reviewed </w:t>
      </w:r>
      <w:r>
        <w:rPr>
          <w:sz w:val="24"/>
          <w:szCs w:val="24"/>
        </w:rPr>
        <w:lastRenderedPageBreak/>
        <w:t>here are organised</w:t>
      </w:r>
      <w:r>
        <w:rPr>
          <w:sz w:val="24"/>
          <w:szCs w:val="24"/>
          <w:lang w:val="en-GB"/>
        </w:rPr>
        <w:t>. Read separately they describe four difficulties. Read together they describe one sequence, in which each difficulty creates the conditions for the next and the sequence returns to its own starting point. Figure 1 sets it out. Establishing that this structure exists is the contribution this review claims, and the directions in the second half of this section are traced to points within it.</w:t>
      </w:r>
    </w:p>
    <w:p w14:paraId="71559B18" w14:textId="77777777"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7C2BD6AF" w14:textId="77777777" w:rsidR="003E79DB" w:rsidRPr="003E79DB" w:rsidRDefault="003E79DB" w:rsidP="003E79DB">
      <w:pPr>
        <w:spacing w:before="120"/>
        <w:ind w:firstLine="244"/>
        <w:jc w:val="center"/>
        <w:rPr>
          <w:b/>
          <w:bCs/>
          <w:sz w:val="24"/>
          <w:szCs w:val="24"/>
        </w:rPr>
      </w:pPr>
      <w:r>
        <w:rPr>
          <w:b/>
          <w:bCs/>
          <w:sz w:val="24"/>
          <w:szCs w:val="24"/>
        </w:rPr>
        <w:t>Figure 1. The Compounding Chain in Malaysian Code-Mixed Sentiment Annotation</w:t>
      </w:r>
    </w:p>
    <w:p w14:paraId="38D7F83A"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link runs from linguistic structure to systematic disagreement. Section 2 established three properties of this text. The consequence is not only that agreement is harder to reach. It is that disagreement takes a particular form. Where one annotator reads </w:t>
      </w:r>
      <w:r>
        <w:rPr>
          <w:i/>
          <w:iCs/>
          <w:sz w:val="24"/>
          <w:szCs w:val="24"/>
          <w:lang w:val="en-GB"/>
        </w:rPr>
        <w:t>lah</w:t>
      </w:r>
      <w:r>
        <w:rPr>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because additional annotators bring their own stable readings rather than noise around a shared one (Pavlick and Kwiatkowski, 2019). The usual response to unreliable annotation is therefore unsuited to the type of unreliability this text produces.</w:t>
      </w:r>
    </w:p>
    <w:p w14:paraId="505A9E43" w14:textId="77777777" w:rsidR="003E79DB" w:rsidRPr="003E79DB" w:rsidRDefault="003E79DB" w:rsidP="003E79DB">
      <w:pPr>
        <w:spacing w:before="120"/>
        <w:ind w:firstLine="244"/>
        <w:jc w:val="both"/>
        <w:rPr>
          <w:sz w:val="24"/>
          <w:szCs w:val="24"/>
          <w:lang w:val="en-GB"/>
        </w:rPr>
      </w:pPr>
      <w:r>
        <w:rPr>
          <w:sz w:val="24"/>
          <w:szCs w:val="24"/>
          <w:lang w:val="en-GB"/>
        </w:rPr>
        <w:t>The second link runs from systematic disagreement to automation. Competent annotation of this material requires a fluent bilingual reader, and that requirement follows from the linguistic properties of the text rather than from any general fact about annotation. The corpus papers give cost and annotator availability as their reason for automating, and Mohd Shamsuddin et al. (2024) state that their tools "eliminated the need to find speakers fluent in Malay and English to label the dataset". Automation on this material is therefore downstream of the linguistic difficulty rather than an independent methodological preference.</w:t>
      </w:r>
    </w:p>
    <w:p w14:paraId="3F765E56" w14:textId="77777777" w:rsidR="0005406F" w:rsidRPr="0005406F" w:rsidRDefault="0005406F" w:rsidP="0005406F">
      <w:pPr>
        <w:spacing w:before="120"/>
        <w:ind w:firstLine="244"/>
        <w:jc w:val="both"/>
        <w:rPr>
          <w:sz w:val="24"/>
          <w:szCs w:val="24"/>
          <w:lang w:val="en-GB"/>
        </w:rPr>
      </w:pPr>
      <w:r>
        <w:rPr>
          <w:sz w:val="24"/>
          <w:szCs w:val="24"/>
          <w:lang w:val="en-GB"/>
        </w:rPr>
        <w:t>The third link runs from automation to a shared limitation. The tools available for automation are those built for well-resourced languages. Section 3.3 documented the one regional case: none of the three analysers covers Malay, each skewed neutral before any vote was taken, and voting cancels error only to the extent that voters fail independently. Where the property they share is the language none of them reads, the ensemble ratifies the error instead of cancelling it.</w:t>
      </w:r>
    </w:p>
    <w:p w14:paraId="3B0DD598"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link runs from the shared limitation to extreme class skew. False neutrals accumulate rather than being corrected, and the corpus acquires a class </w:t>
      </w:r>
      <w:r>
        <w:rPr>
          <w:sz w:val="24"/>
          <w:szCs w:val="24"/>
          <w:lang w:val="en-GB"/>
        </w:rPr>
        <w:lastRenderedPageBreak/>
        <w:t>distribution that no participant intended. MESocSentiment reaches 78.23% neutral. Posts on which the three analysers could not agree were removed, 512 of them, on the stated ground of retaining only "absolute categories". Those posts are not a random sample. They are the contested, heavily code-switched cases that the first link identifies as the source of the difficulty, and removing them raised both the neutral share and the measured agreement.</w:t>
      </w:r>
    </w:p>
    <w:p w14:paraId="1CC80595" w14:textId="77777777" w:rsidR="003E79DB" w:rsidRPr="003E79DB" w:rsidRDefault="00F304DE" w:rsidP="003E79DB">
      <w:pPr>
        <w:spacing w:before="120"/>
        <w:ind w:firstLine="244"/>
        <w:jc w:val="both"/>
        <w:rPr>
          <w:sz w:val="24"/>
          <w:szCs w:val="24"/>
          <w:lang w:val="en-GB"/>
        </w:rPr>
      </w:pPr>
      <w:r>
        <w:rPr>
          <w:sz w:val="24"/>
          <w:szCs w:val="24"/>
        </w:rPr>
        <w:t>The fifth link runs from extreme class skew to the difficulty of establishing reliability</w:t>
      </w:r>
      <w:r>
        <w:rPr>
          <w:sz w:val="24"/>
          <w:szCs w:val="24"/>
          <w:lang w:val="en-GB"/>
        </w:rPr>
        <w:t>, and it is where the two halves of this review meet. The distribution produced at the fourth link is the specific condition under which a chance- corrected coefficient stops returning interpretable values (Feinstein and Cicchetti, 1990; Byrt et al., 1993). A researcher who suspects the labels are unsound and computes a coefficient obtains a low value, which is consistent with poor annotation and equally consistent with competent annotation of a skewed corpus. Raw agreement carries the same ambiguity in the opposite direction (Artstein and Poesio, 2008). The defect and the inability to detect the defect have one cause. That is what separates an unresolved problem from a merely difficult one: here the quality check is least informative exactly where quality is lowest.</w:t>
      </w:r>
    </w:p>
    <w:p w14:paraId="408AE50B" w14:textId="77777777" w:rsidR="003E79DB" w:rsidRPr="003E79DB" w:rsidRDefault="003E79DB" w:rsidP="003E79DB">
      <w:pPr>
        <w:spacing w:before="120"/>
        <w:ind w:firstLine="244"/>
        <w:jc w:val="both"/>
        <w:rPr>
          <w:sz w:val="24"/>
          <w:szCs w:val="24"/>
          <w:lang w:val="en-GB"/>
        </w:rPr>
      </w:pPr>
      <w:r>
        <w:rPr>
          <w:sz w:val="24"/>
          <w:szCs w:val="24"/>
          <w:lang w:val="en-GB"/>
        </w:rPr>
        <w:t>The sixth link closes the cycle. Corpora whose reliability was never established are released, trained on and evaluated against, so every downstream comparison inherits an error term that nobody has quantified. The more consequential edge is the one that returns. The annotators used to build the next corpus are fine-tuned on the last, and Section 4 showed that a fine-tuned encoder resolves only the variation it has been shown. The limitations of one generation of labels are transmitted to the instruments that produce the next, so the chain does not merely persist. It reproduces itself.</w:t>
      </w:r>
    </w:p>
    <w:p w14:paraId="2B81AE84" w14:textId="77777777" w:rsidR="003E79DB" w:rsidRPr="003E79DB" w:rsidRDefault="003E79DB" w:rsidP="003E79DB">
      <w:pPr>
        <w:spacing w:before="120"/>
        <w:ind w:firstLine="244"/>
        <w:jc w:val="both"/>
        <w:rPr>
          <w:sz w:val="24"/>
          <w:szCs w:val="24"/>
          <w:lang w:val="en-GB"/>
        </w:rPr>
      </w:pPr>
      <w:r>
        <w:rPr>
          <w:sz w:val="24"/>
          <w:szCs w:val="24"/>
          <w:lang w:val="en-GB"/>
        </w:rPr>
        <w:t>Read as a whole, the chain explains a pattern that the individual studies cannot. Each reviewed work intervenes at one link and does so competently. None addresses the chain as a chain, and an intervention at one link is assessed with an instrument compromised at another, so the assessment cannot establish whether the intervention worked. That is why effort in this area has been absorbed without accumulating.</w:t>
      </w:r>
    </w:p>
    <w:p w14:paraId="2910B76D" w14:textId="77777777" w:rsidR="00E10A8D" w:rsidRPr="00E10A8D" w:rsidRDefault="00E10A8D" w:rsidP="00E10A8D">
      <w:pPr>
        <w:spacing w:before="120"/>
        <w:ind w:firstLine="244"/>
        <w:jc w:val="both"/>
        <w:rPr>
          <w:sz w:val="24"/>
          <w:szCs w:val="24"/>
          <w:lang w:val="en-GB"/>
        </w:rPr>
      </w:pPr>
      <w:r>
        <w:rPr>
          <w:sz w:val="24"/>
          <w:szCs w:val="24"/>
          <w:lang w:val="en-GB"/>
        </w:rPr>
        <w:t>The chain identifies where intervention would matter, not which intervention would succeed. Each of the five directions below is traced to a link, since a direction that cannot be traced to a finding is a preference rather than a conclusion.</w:t>
      </w:r>
    </w:p>
    <w:p w14:paraId="0159904A" w14:textId="77777777" w:rsidR="003E79DB" w:rsidRPr="003E79DB" w:rsidRDefault="003E79DB" w:rsidP="003E79DB">
      <w:pPr>
        <w:spacing w:before="120"/>
        <w:ind w:firstLine="244"/>
        <w:jc w:val="both"/>
        <w:rPr>
          <w:sz w:val="24"/>
          <w:szCs w:val="24"/>
          <w:lang w:val="en-GB"/>
        </w:rPr>
      </w:pPr>
      <w:r>
        <w:rPr>
          <w:sz w:val="24"/>
          <w:szCs w:val="24"/>
          <w:lang w:val="en-GB"/>
        </w:rPr>
        <w:t>The first direction is agreement measurement under class skew, and it follows from the fifth link. Prevalence-adjusted coefficients exist (Byrt et al., 1993) but have not been evaluated on code-mixed sentiment data, so it is not known which behaves best under the distributions these corpora actually exhibit. The study requires no new data collection, only an existing annotated corpus, a set of candidate coefficients, and a comparison of how they behave as skew increases. It is a precondition for the others, because until reliability can be measured under prevailing conditions, no corpus built hereafter can be shown to improve on the ones described here.</w:t>
      </w:r>
    </w:p>
    <w:p w14:paraId="6401297E" w14:textId="77777777" w:rsidR="003E79DB" w:rsidRPr="003E79DB" w:rsidRDefault="003E79DB" w:rsidP="003E79DB">
      <w:pPr>
        <w:spacing w:before="120"/>
        <w:ind w:firstLine="244"/>
        <w:jc w:val="both"/>
        <w:rPr>
          <w:sz w:val="24"/>
          <w:szCs w:val="24"/>
          <w:lang w:val="en-GB"/>
        </w:rPr>
      </w:pPr>
      <w:r>
        <w:rPr>
          <w:sz w:val="24"/>
          <w:szCs w:val="24"/>
          <w:lang w:val="en-GB"/>
        </w:rPr>
        <w:t xml:space="preserve">The second direction is a minimum reporting standard, and it follows from Table 3. A minimum set for any newly released corpus would comprise five elements: (1) </w:t>
      </w:r>
      <w:r>
        <w:rPr>
          <w:sz w:val="24"/>
          <w:szCs w:val="24"/>
          <w:lang w:val="en-GB"/>
        </w:rPr>
        <w:lastRenderedPageBreak/>
        <w:t>the number of annotators and their stated qualification; (2) the availability of the annotation guideline; (3) the variant of the coefficient and the task it was computed for; (4) per-class rather than aggregate agreement; and (5) the full class distribution. Per-class agreement deserves particular emphasis, since an aggregate figure on a skewed corpus is dominated by the majority class and can conceal near-total disagreement on the minority polarities that matter most.</w:t>
      </w:r>
    </w:p>
    <w:p w14:paraId="1BA1B2F9" w14:textId="77777777" w:rsidR="003E79DB" w:rsidRPr="003E79DB" w:rsidRDefault="003E79DB" w:rsidP="003E79DB">
      <w:pPr>
        <w:spacing w:before="120"/>
        <w:ind w:firstLine="244"/>
        <w:jc w:val="both"/>
        <w:rPr>
          <w:sz w:val="24"/>
          <w:szCs w:val="24"/>
          <w:lang w:val="en-GB"/>
        </w:rPr>
      </w:pPr>
      <w:r>
        <w:rPr>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and no such convention exists for </w:t>
      </w:r>
      <w:r>
        <w:rPr>
          <w:i/>
          <w:iCs/>
          <w:sz w:val="24"/>
          <w:szCs w:val="24"/>
          <w:lang w:val="en-GB"/>
        </w:rPr>
        <w:t>lah</w:t>
      </w:r>
      <w:r>
        <w:rPr>
          <w:sz w:val="24"/>
          <w:szCs w:val="24"/>
          <w:lang w:val="en-GB"/>
        </w:rPr>
        <w:t xml:space="preserve">, </w:t>
      </w:r>
      <w:r>
        <w:rPr>
          <w:i/>
          <w:iCs/>
          <w:sz w:val="24"/>
          <w:szCs w:val="24"/>
          <w:lang w:val="en-GB"/>
        </w:rPr>
        <w:t>kan</w:t>
      </w:r>
      <w:r>
        <w:rPr>
          <w:sz w:val="24"/>
          <w:szCs w:val="24"/>
          <w:lang w:val="en-GB"/>
        </w:rPr>
        <w:t xml:space="preserve"> and their equivalents. A model is available. Mohammad (2016) proposes a questionnaire that separates the speaker's emotional state, the target of the opinion and the attitude taken toward it. It also treats sarcasm, ridicule and mockery as a distinct response rather than folding them into polarity, which is precisely the ambiguity Section 2.2 identified. Kong et al. (2023) adapt this scheme into a four-question guideline for Malaysian tweets. What is absent is not the design but its adaptation to Malaysian particles and its adoption across projects.</w:t>
      </w:r>
    </w:p>
    <w:p w14:paraId="255BC47D"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direction is to publish label distributions rather than only resolved labels, and it follows from the fourth link. Current practice resolves disagreement by majority rule or removes it, discarding the information that the case was contested. Uma et al. (2021) report that models trained on the full distribution of annotator judgements can outperform models trained on aggregated labels. </w:t>
      </w:r>
      <w:r>
        <w:rPr>
          <w:sz w:val="24"/>
          <w:szCs w:val="24"/>
        </w:rPr>
        <w:t>Publishing that distribution would preserve the cases that current pipelines delete</w:t>
      </w:r>
      <w:r>
        <w:rPr>
          <w:sz w:val="24"/>
          <w:szCs w:val="24"/>
          <w:lang w:val="en-GB"/>
        </w:rPr>
        <w:t>.  It would also make the fourth link visible, since a corpus that reports what it discarded allows a reader to judge whether its reported reliability was earned or obtained by attrition.</w:t>
      </w:r>
    </w:p>
    <w:p w14:paraId="4C8DB492" w14:textId="77777777" w:rsidR="003E79DB" w:rsidRPr="003E79DB" w:rsidRDefault="003E79DB" w:rsidP="003E79DB">
      <w:pPr>
        <w:spacing w:before="120"/>
        <w:ind w:firstLine="244"/>
        <w:jc w:val="both"/>
        <w:rPr>
          <w:sz w:val="24"/>
          <w:szCs w:val="24"/>
          <w:lang w:val="en-GB"/>
        </w:rPr>
      </w:pPr>
      <w:r>
        <w:rPr>
          <w:sz w:val="24"/>
          <w:szCs w:val="24"/>
          <w:lang w:val="en-GB"/>
        </w:rPr>
        <w:t xml:space="preserve">The fifth direction is to test the independence premise, and it follows from the third link. Every consensus mechanism in this literature depends on </w:t>
      </w:r>
      <w:r>
        <w:rPr>
          <w:sz w:val="24"/>
          <w:szCs w:val="24"/>
        </w:rPr>
        <w:t>the premise that annotators of different architecture fail independently</w:t>
      </w:r>
      <w:r>
        <w:rPr>
          <w:sz w:val="24"/>
          <w:szCs w:val="24"/>
          <w:lang w:val="en-GB"/>
        </w:rPr>
        <w:t>, and on this material the premise is asserted throughout and measured nowhere.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material adds confidence without adding evidence.</w:t>
      </w:r>
    </w:p>
    <w:p w14:paraId="7355119D" w14:textId="77777777" w:rsidR="00E10A8D" w:rsidRPr="00E10A8D" w:rsidRDefault="00E10A8D" w:rsidP="00E10A8D">
      <w:pPr>
        <w:spacing w:before="120"/>
        <w:jc w:val="both"/>
        <w:rPr>
          <w:sz w:val="24"/>
          <w:szCs w:val="24"/>
          <w:lang w:val="en-GB"/>
        </w:rPr>
      </w:pPr>
      <w:r>
        <w:rPr>
          <w:sz w:val="24"/>
          <w:szCs w:val="24"/>
          <w:lang w:val="en-GB"/>
        </w:rPr>
        <w:t>These are directions rather than results. The claim of this review is not that they will succeed, but that Figure 1 identifies where effort in this area is currently absorbed without accumulating.</w:t>
      </w:r>
    </w:p>
    <w:p w14:paraId="2191A64E" w14:textId="77777777" w:rsidR="00643023" w:rsidRDefault="00643023" w:rsidP="00E10A8D">
      <w:pPr>
        <w:jc w:val="both"/>
        <w:rPr>
          <w:b/>
          <w:bCs/>
          <w:sz w:val="24"/>
          <w:szCs w:val="24"/>
          <w:lang w:val="en-GB"/>
        </w:rPr>
      </w:pPr>
    </w:p>
    <w:p w14:paraId="6BA5B1F6" w14:textId="77777777" w:rsidR="00643023" w:rsidRPr="00643023" w:rsidRDefault="00C127AD" w:rsidP="00E10A8D">
      <w:pPr>
        <w:jc w:val="both"/>
        <w:rPr>
          <w:b/>
          <w:bCs/>
          <w:sz w:val="24"/>
          <w:szCs w:val="24"/>
          <w:lang w:val="en-GB"/>
        </w:rPr>
      </w:pPr>
      <w:r>
        <w:rPr>
          <w:b/>
          <w:bCs/>
          <w:sz w:val="24"/>
          <w:szCs w:val="24"/>
          <w:lang w:val="en-GB"/>
        </w:rPr>
        <w:t>7. Conclusion</w:t>
      </w:r>
    </w:p>
    <w:p w14:paraId="4EA909FA" w14:textId="77777777" w:rsidR="00643023" w:rsidRPr="00643023" w:rsidRDefault="00643023" w:rsidP="00643023">
      <w:pPr>
        <w:spacing w:before="120"/>
        <w:ind w:firstLine="244"/>
        <w:jc w:val="both"/>
        <w:rPr>
          <w:sz w:val="24"/>
          <w:szCs w:val="24"/>
          <w:lang w:val="en-GB"/>
        </w:rPr>
      </w:pPr>
      <w:r>
        <w:rPr>
          <w:sz w:val="24"/>
          <w:szCs w:val="24"/>
          <w:lang w:val="en-GB"/>
        </w:rPr>
        <w:t xml:space="preserve">This review examined one question: why reliable annotation and evaluation of Malaysian Malay-English code- mixed sentiment data remain unresolved. The answer usually given is architectural, and the evidence assembled here indicates that it is incomplete. Model choice accounts for part of the difficulty. The rest </w:t>
      </w:r>
      <w:r>
        <w:rPr>
          <w:sz w:val="24"/>
          <w:szCs w:val="24"/>
        </w:rPr>
        <w:t xml:space="preserve">originates </w:t>
      </w:r>
      <w:r>
        <w:rPr>
          <w:sz w:val="24"/>
          <w:szCs w:val="24"/>
          <w:lang w:val="en-GB"/>
        </w:rPr>
        <w:lastRenderedPageBreak/>
        <w:t>earlier, in the sentiment labels themselves and in the evidence offered that those labels are sound.</w:t>
      </w:r>
    </w:p>
    <w:p w14:paraId="45F08CF8" w14:textId="77777777" w:rsidR="0005406F" w:rsidRPr="0005406F" w:rsidRDefault="0005406F" w:rsidP="0005406F">
      <w:pPr>
        <w:spacing w:before="120"/>
        <w:ind w:firstLine="244"/>
        <w:jc w:val="both"/>
        <w:rPr>
          <w:sz w:val="24"/>
          <w:szCs w:val="24"/>
          <w:lang w:val="en-GB"/>
        </w:rPr>
      </w:pPr>
      <w:r>
        <w:rPr>
          <w:sz w:val="24"/>
          <w:szCs w:val="24"/>
          <w:lang w:val="en-GB"/>
        </w:rPr>
        <w:t>The contribution this review claims is not any of those findings taken alone but the relation between them. The linguistic properties of the text produce disagreement that is systematic rather than random, which makes fluent bilingual annotation necessary and expensive, which is why labelling is automated. The tools available for that automation cover neither Malay nor Manglish, so pooling them ratifies a shared error instead of cancelling it. The class skew that results is the precise condition under which the standard agreement coefficient stops returning interpretable values, so the defect and the inability to detect it have one cause rather than two. Each corpus built this way then trains the annotators that build the next. An intervention at any single point is assessed by an instrument compromised at another, which is why competent work at each link has not accumulated into progress.</w:t>
      </w:r>
    </w:p>
    <w:p w14:paraId="385CD512" w14:textId="77777777" w:rsidR="00643023" w:rsidRPr="00643023" w:rsidRDefault="00643023" w:rsidP="00643023">
      <w:pPr>
        <w:spacing w:before="120"/>
        <w:ind w:firstLine="244"/>
        <w:jc w:val="both"/>
        <w:rPr>
          <w:sz w:val="24"/>
          <w:szCs w:val="24"/>
          <w:lang w:val="en-GB"/>
        </w:rPr>
      </w:pPr>
      <w:r>
        <w:rPr>
          <w:sz w:val="24"/>
          <w:szCs w:val="24"/>
          <w:lang w:val="en-GB"/>
        </w:rPr>
        <w:t>The directions set out in Section 6 follow from that structure rather than from preference. The first of them, an agreement measure that behaves interpretably under the class distributions these corpora actually exhibit, is a precondition for evaluating the rest. Until reliability can be measured under the conditions this data presents, no corpus built hereafter can be shown to improve on the ones examined here.</w:t>
      </w:r>
    </w:p>
    <w:p w14:paraId="5C66D83F" w14:textId="77777777" w:rsidR="00AC2D40" w:rsidRDefault="00AC2D40" w:rsidP="00483967">
      <w:pPr>
        <w:rPr>
          <w:b/>
          <w:bCs/>
          <w:sz w:val="26"/>
          <w:szCs w:val="26"/>
        </w:rPr>
      </w:pPr>
    </w:p>
    <w:p w14:paraId="7082D861" w14:textId="77777777" w:rsidR="00643023" w:rsidRPr="00483967" w:rsidRDefault="00643023" w:rsidP="00483967">
      <w:pPr>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r>
        <w:rPr>
          <w:sz w:val="16"/>
          <w:szCs w:val="16"/>
        </w:rPr>
        <w:t>Adilazuarda, M. F., Cahyawijaya, S., Winata, G. I., Fung, P., and Purwarianti, A. (2022). IndoRobusta: Towards robustness against diverse code-mixed Indonesian local languages. Proceedings of the First Workshop on Scaling Up Multilingual Evaluation (SUMEval), 25–34.</w:t>
      </w:r>
    </w:p>
    <w:p w14:paraId="2153C3B5" w14:textId="77777777" w:rsidR="00643023" w:rsidRPr="009C6090" w:rsidRDefault="00643023" w:rsidP="00643023">
      <w:pPr>
        <w:spacing w:after="80"/>
        <w:ind w:left="340" w:hanging="340"/>
        <w:jc w:val="both"/>
      </w:pPr>
      <w:r>
        <w:rPr>
          <w:sz w:val="16"/>
          <w:szCs w:val="16"/>
        </w:rPr>
        <w:t>AlAfnan, M. A., MohdZuki, S. F., and AlAfnan,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r>
        <w:rPr>
          <w:sz w:val="16"/>
          <w:szCs w:val="16"/>
        </w:rPr>
        <w:t>Artstein, R., and Poesio,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r>
        <w:rPr>
          <w:sz w:val="16"/>
          <w:szCs w:val="16"/>
        </w:rPr>
        <w:t xml:space="preserve">Doğruöz, A. S., Sitaram, S., Bullock, B. E., and Toribio, A. J. (2021). A survey of code-switching: Linguistic and social perspectives for language technologies. Proceedings of the 59th Annual Meeting of the Association for Computational </w:t>
      </w:r>
      <w:r>
        <w:rPr>
          <w:sz w:val="16"/>
          <w:szCs w:val="16"/>
        </w:rPr>
        <w:lastRenderedPageBreak/>
        <w:t>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r>
        <w:rPr>
          <w:sz w:val="16"/>
          <w:szCs w:val="16"/>
        </w:rPr>
        <w:t>Frénay, B., and Verleysen, M. (2014). Classification in the presence of label noise: A survey. IEEE Transactions on Neural Networks and Learning Systems, 25(5), 845–869. https://doi.org/10.1109/TNNLS.2013.2292894</w:t>
      </w:r>
    </w:p>
    <w:p w14:paraId="055CBD41"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Jadhav, S., Shanbhag, A., Thakurdesai,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r>
        <w:rPr>
          <w:sz w:val="16"/>
          <w:szCs w:val="16"/>
        </w:rPr>
        <w:t>Kasmuri, E., and Basiron,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Khanuja, S., Dandapat, S., Srinivasan, A., Sitaram, S., and Choudhury, M. (2020). GLUECoS: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Kong, J. T. H., Juwono, F. H., Ngu, I. Y., Nugraha, I. G. D., Maraden, Y., and Wong, W. K. (2023). A mixed Malay-English language COVID-19 Twitter dataset: A sentiment analysis. Big Data and Cognitive Computing, 7(2), 61. https://doi.org/10.3390/bdcc7020061</w:t>
      </w:r>
    </w:p>
    <w:p w14:paraId="66FF86CE" w14:textId="77777777" w:rsidR="00643023" w:rsidRPr="009C6090" w:rsidRDefault="00643023" w:rsidP="00643023">
      <w:pPr>
        <w:spacing w:after="80"/>
        <w:ind w:left="340" w:hanging="340"/>
        <w:jc w:val="both"/>
      </w:pPr>
      <w:r>
        <w:rPr>
          <w:sz w:val="16"/>
          <w:szCs w:val="16"/>
        </w:rPr>
        <w:t>Manukonda, D. P., and Kodali, R. G. (2025). byteSizedLLM@DravidianLangTech 2025: Fake news detection in Dravidian languages using transliteration-aware XLM-RoBERTa and transformer encoder-decoder. Proceedings of the Fifth Workshop on Speech, Vision, and Language Technologies for Dravidian Languages, 176–181.</w:t>
      </w:r>
    </w:p>
    <w:p w14:paraId="73E38C23"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t>Mohd Shamsuddin, A. M., Samson Juan, S., Chua, S., and Bramantoro, A. (2024). Semi-automatic sentiment identification for Malay-English code-switched data. Journal of Advanced Research Design, 123(1), 198–212. https://doi.org/10.37934/ard.123.1.198212</w:t>
      </w:r>
    </w:p>
    <w:p w14:paraId="6F7ECA2D" w14:textId="77777777" w:rsidR="00643023" w:rsidRPr="009C6090" w:rsidRDefault="00643023" w:rsidP="00643023">
      <w:pPr>
        <w:spacing w:after="80"/>
        <w:ind w:left="340" w:hanging="340"/>
        <w:jc w:val="both"/>
      </w:pPr>
      <w:r>
        <w:rPr>
          <w:sz w:val="16"/>
          <w:szCs w:val="16"/>
        </w:rPr>
        <w:t>Muysken, P. (2013). Language contact outcomes as the result of bilingual optimization strategies. Bilingualism: Language and Cognition, 16(4), 709–730. https://doi.org/10.1017/S1366728912000727</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Northcutt, C. G., Athalye, A., and Mueller, J. (2021). Pervasive label errors in test sets destabilize machine learning benchmarks. Proceedings of the 35th Conference on Neural Information Processing Systems (NeurIPS):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2261CAFC" w14:textId="77777777" w:rsidR="00643023" w:rsidRPr="009C6090" w:rsidRDefault="00643023" w:rsidP="00643023">
      <w:pPr>
        <w:spacing w:after="80"/>
        <w:ind w:left="340" w:hanging="340"/>
        <w:jc w:val="both"/>
      </w:pPr>
      <w:r>
        <w:rPr>
          <w:sz w:val="16"/>
          <w:szCs w:val="16"/>
        </w:rPr>
        <w:t>Pontiki, M., Galanis, D., Papageorgiou, H., Androutsopoulos, I., Manandhar, S., AL-Smadi, M., Al-Ayyoub, M., Zhao, Y., Qin, B., De Clercq, O., Hoste, V., Apidianaki, M., Tannier, X., Loukachevitch, N., Kotelnikov, E., Bel, N., Jiménez-Zafra, S. M., and Eryiğit, G. (2016). SemEval-2016 Task 5: Aspect based sentiment analysis. Proceedings of the 10th International Workshop on Semantic Evaluation (SemEval-2016), 19–30. https://doi.org/10.18653/v1/S16-1002</w:t>
      </w:r>
    </w:p>
    <w:p w14:paraId="1CB4EFA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r>
        <w:rPr>
          <w:sz w:val="16"/>
          <w:szCs w:val="16"/>
        </w:rPr>
        <w:t>Romadhona, N. P., Lu, S.-E., Lu, B.-H., and Tsai, R. T.-H. (2022). BRCC and SentiBahasaRojak: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Selvaraju, S., Sjarif, N. N. A., and Anuar, M. S. M. (2024). Sentiment analysis in code mixing Malay text: A review. 2024 5th International Conference on Artificial Intelligence and Data Sciences (AiDAS), 280–285. https://doi.org/10.1109/AiDAS63860.2024.10730298</w:t>
      </w:r>
    </w:p>
    <w:p w14:paraId="3B3AC5F4"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lastRenderedPageBreak/>
        <w:t>Uma, A. N., Fornaciari, T., Hovy, D., Paun, S., Plank, B., and Poesio,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Winata, G. I., Cahyawijaya, S., Liu, Z., Lin, Z., Madotto,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4"/>
      <w:headerReference w:type="default" r:id="rId15"/>
      <w:footerReference w:type="even" r:id="rId16"/>
      <w:footerReference w:type="default" r:id="rId17"/>
      <w:headerReference w:type="first" r:id="rId18"/>
      <w:footerReference w:type="first" r:id="rId19"/>
      <w:pgSz w:w="11907" w:h="16839"/>
      <w:pgMar w:top="1152" w:right="2074" w:bottom="1987" w:left="1872"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6-08-30T13:21:00Z" w:initials="L">
    <w:p w14:paraId="0AD6C7D1" w14:textId="232B5AB9" w:rsidR="00920A5C" w:rsidRDefault="00920A5C">
      <w:pPr>
        <w:pStyle w:val="CommentText"/>
      </w:pPr>
      <w:r>
        <w:rPr>
          <w:rStyle w:val="CommentReference"/>
        </w:rPr>
        <w:annotationRef/>
      </w:r>
      <w:r w:rsidRPr="00920A5C">
        <w:t>There are two different ways to interpret this sentence. First, the two cited sources mentioned that earlier work described Malay social media text as ill-formed and noisy. Or second, these two cited sources make such claim? If it is the latter case, then you should have shifted the cited source to right after "earlier work".</w:t>
      </w:r>
    </w:p>
  </w:comment>
  <w:comment w:id="1" w:author="Lenovo" w:date="2026-08-30T13:27:00Z" w:initials="L">
    <w:p w14:paraId="548EF4AA" w14:textId="6548E839" w:rsidR="00926635" w:rsidRDefault="00926635">
      <w:pPr>
        <w:pStyle w:val="CommentText"/>
      </w:pPr>
      <w:r>
        <w:rPr>
          <w:rStyle w:val="CommentReference"/>
        </w:rPr>
        <w:annotationRef/>
      </w:r>
      <w:r w:rsidRPr="00926635">
        <w:t>This lacks clarity. Limiting in what way?</w:t>
      </w:r>
    </w:p>
  </w:comment>
  <w:comment w:id="2" w:author="Lenovo" w:date="2026-08-30T13:30:00Z" w:initials="L">
    <w:p w14:paraId="3901B337" w14:textId="4DA8BA12" w:rsidR="00926635" w:rsidRDefault="00926635">
      <w:pPr>
        <w:pStyle w:val="CommentText"/>
      </w:pPr>
      <w:r>
        <w:rPr>
          <w:rStyle w:val="CommentReference"/>
        </w:rPr>
        <w:annotationRef/>
      </w:r>
      <w:r>
        <w:t>Does this solved “</w:t>
      </w:r>
      <w:r w:rsidRPr="00926635">
        <w:t>Your previous paragraph establishes that label errors can affect training and evaluation, but it does not by itself establish that labels are more limiting than models for Malaysian Malay-English sentiment data.</w:t>
      </w:r>
      <w:r>
        <w:t>”</w:t>
      </w:r>
    </w:p>
  </w:comment>
  <w:comment w:id="3" w:author="Lenovo" w:date="2026-08-30T13:36:00Z" w:initials="L">
    <w:p w14:paraId="1980B0D4" w14:textId="16CD2B5F" w:rsidR="004A190C" w:rsidRDefault="004A190C">
      <w:pPr>
        <w:pStyle w:val="CommentText"/>
      </w:pPr>
      <w:r>
        <w:rPr>
          <w:rStyle w:val="CommentReference"/>
        </w:rPr>
        <w:annotationRef/>
      </w:r>
      <w:r>
        <w:t>Does this solved “</w:t>
      </w:r>
      <w:r w:rsidRPr="004A190C">
        <w:t>This is too strong. Cohen's κ does not simply "stop being informative." Its interpretation can become problematic or misleading under prevalence imbalance. It is safer to use a softer tone like this "...can make the statistic used to assess the labels more difficult to interpret."</w:t>
      </w:r>
      <w:r>
        <w:t>”</w:t>
      </w:r>
      <w:r>
        <w:br/>
      </w:r>
      <w:r>
        <w:br/>
        <w:t>And “</w:t>
      </w:r>
      <w:r w:rsidRPr="004A190C">
        <w:t>The paragraph has been discussing 1) annotation reliability, 2) class imbalance, and 3) Cohen's κ. Then suddenly, you talk about this. The connection is not explicit, the reader has to infer it. Try explicitly connect the review to your argument.</w:t>
      </w:r>
      <w:r>
        <w:t>”</w:t>
      </w:r>
    </w:p>
  </w:comment>
  <w:comment w:id="5" w:author="Lenovo" w:date="2026-08-30T13:41:00Z" w:initials="L">
    <w:p w14:paraId="384926BB" w14:textId="610643F2" w:rsidR="004A190C" w:rsidRDefault="004A190C">
      <w:pPr>
        <w:pStyle w:val="CommentText"/>
      </w:pPr>
      <w:r>
        <w:rPr>
          <w:rStyle w:val="CommentReference"/>
        </w:rPr>
        <w:annotationRef/>
      </w:r>
      <w:r>
        <w:t xml:space="preserve">Use Malay-English sentiment resources instead of </w:t>
      </w:r>
      <w:r w:rsidRPr="004A190C">
        <w:t>four regional corpora</w:t>
      </w:r>
    </w:p>
  </w:comment>
  <w:comment w:id="4" w:author="Lenovo" w:date="2026-08-30T13:41:00Z" w:initials="L">
    <w:p w14:paraId="58058E16" w14:textId="4FE5A71F" w:rsidR="004A190C" w:rsidRDefault="004A190C">
      <w:pPr>
        <w:pStyle w:val="CommentText"/>
      </w:pPr>
      <w:r>
        <w:rPr>
          <w:rStyle w:val="CommentReference"/>
        </w:rPr>
        <w:annotationRef/>
      </w:r>
      <w:r w:rsidRPr="004A190C">
        <w:t>This is understandable, but it also sounds like a corpus will literally report something.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D6C7D1" w15:done="0"/>
  <w15:commentEx w15:paraId="548EF4AA" w15:done="0"/>
  <w15:commentEx w15:paraId="3901B337" w15:done="0"/>
  <w15:commentEx w15:paraId="1980B0D4" w15:done="0"/>
  <w15:commentEx w15:paraId="384926BB" w15:done="0"/>
  <w15:commentEx w15:paraId="58058E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C2EEB" w16cex:dateUtc="2026-08-30T05:21:00Z"/>
  <w16cex:commentExtensible w16cex:durableId="24660163" w16cex:dateUtc="2026-08-30T05:27:00Z"/>
  <w16cex:commentExtensible w16cex:durableId="0472EAD7" w16cex:dateUtc="2026-08-30T05:30:00Z"/>
  <w16cex:commentExtensible w16cex:durableId="1A01DF66" w16cex:dateUtc="2026-08-30T05:36:00Z"/>
  <w16cex:commentExtensible w16cex:durableId="4AED4FE2" w16cex:dateUtc="2026-08-30T05:41:00Z"/>
  <w16cex:commentExtensible w16cex:durableId="5DF1B1DB" w16cex:dateUtc="2026-08-30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D6C7D1" w16cid:durableId="59CC2EEB"/>
  <w16cid:commentId w16cid:paraId="548EF4AA" w16cid:durableId="24660163"/>
  <w16cid:commentId w16cid:paraId="3901B337" w16cid:durableId="0472EAD7"/>
  <w16cid:commentId w16cid:paraId="1980B0D4" w16cid:durableId="1A01DF66"/>
  <w16cid:commentId w16cid:paraId="384926BB" w16cid:durableId="4AED4FE2"/>
  <w16cid:commentId w16cid:paraId="58058E16" w16cid:durableId="5DF1B1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425E" w14:textId="77777777" w:rsidR="001F5F4D" w:rsidRPr="006546A0" w:rsidRDefault="001F5F4D">
      <w:r w:rsidRPr="006546A0">
        <w:separator/>
      </w:r>
    </w:p>
  </w:endnote>
  <w:endnote w:type="continuationSeparator" w:id="0">
    <w:p w14:paraId="711612DF" w14:textId="77777777" w:rsidR="001F5F4D" w:rsidRPr="006546A0" w:rsidRDefault="001F5F4D">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2160" w14:textId="77777777" w:rsidR="001F5F4D" w:rsidRPr="006546A0" w:rsidRDefault="001F5F4D">
      <w:r w:rsidRPr="006546A0">
        <w:separator/>
      </w:r>
    </w:p>
  </w:footnote>
  <w:footnote w:type="continuationSeparator" w:id="0">
    <w:p w14:paraId="30262A1A" w14:textId="77777777" w:rsidR="001F5F4D" w:rsidRPr="006546A0" w:rsidRDefault="001F5F4D">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International Journal of xxxxxx</w:t>
    </w:r>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(OIJI)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xxxx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5406F"/>
    <w:rsid w:val="000C3BC5"/>
    <w:rsid w:val="000C540E"/>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76001"/>
    <w:rsid w:val="00A85005"/>
    <w:rsid w:val="00AA566D"/>
    <w:rsid w:val="00AC2D40"/>
    <w:rsid w:val="00B14C4D"/>
    <w:rsid w:val="00B2442A"/>
    <w:rsid w:val="00B30939"/>
    <w:rsid w:val="00BB7406"/>
    <w:rsid w:val="00C127AD"/>
    <w:rsid w:val="00C632CC"/>
    <w:rsid w:val="00C67F7D"/>
    <w:rsid w:val="00CA6BDB"/>
    <w:rsid w:val="00CB1F44"/>
    <w:rsid w:val="00CC05FA"/>
    <w:rsid w:val="00CE6FEC"/>
    <w:rsid w:val="00D20E38"/>
    <w:rsid w:val="00D714BA"/>
    <w:rsid w:val="00DE32D1"/>
    <w:rsid w:val="00E10A8D"/>
    <w:rsid w:val="00E3160C"/>
    <w:rsid w:val="00E57D3D"/>
    <w:rsid w:val="00E623B3"/>
    <w:rsid w:val="00E76F61"/>
    <w:rsid w:val="00EC3247"/>
    <w:rsid w:val="00ED635A"/>
    <w:rsid w:val="00ED77BD"/>
    <w:rsid w:val="00EE11D5"/>
    <w:rsid w:val="00EE1483"/>
    <w:rsid w:val="00F304DE"/>
    <w:rsid w:val="00F379CB"/>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DB"/>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21</Pages>
  <Words>10264</Words>
  <Characters>58510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57</cp:revision>
  <cp:lastPrinted>2026-08-20T17:13:00Z</cp:lastPrinted>
  <dcterms:created xsi:type="dcterms:W3CDTF">2026-07-02T08:05:00Z</dcterms:created>
  <dcterms:modified xsi:type="dcterms:W3CDTF">2026-08-30T05:42:00Z</dcterms:modified>
</cp:coreProperties>
</file>