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D173B2">
        <w:rPr>
          <w:i/>
          <w:color w:val="000000" w:themeColor="text1"/>
        </w:rPr>
        <w:t>Manglish</w:t>
      </w:r>
      <w:r>
        <w:rPr>
          <w:i/>
          <w:color w:val="000000" w:themeColor="text1"/>
        </w:rPr>
        <w:t>,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r>
      <w:r>
        <w:rPr>
          <w:sz w:val="24"/>
          <w:szCs w:val="24"/>
          <w:lang w:val="en-GB"/>
        </w:rPr>
        <w:lastRenderedPageBreak/>
        <w:t xml:space="preserve">conditions for which they were designed. </w:t>
      </w:r>
      <w:proofErr w:type="spellStart"/>
      <w:r>
        <w:rPr>
          <w:sz w:val="24"/>
          <w:szCs w:val="24"/>
          <w:lang w:val="en-GB"/>
        </w:rPr>
        <w:t>Doğruöz</w:t>
      </w:r>
      <w:proofErr w:type="spellEnd"/>
      <w:r>
        <w:rPr>
          <w:sz w:val="24"/>
          <w:szCs w:val="24"/>
          <w:lang w:val="en-GB"/>
        </w:rPr>
        <w:t xml:space="preserve">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w:t>
      </w:r>
      <w:proofErr w:type="spellStart"/>
      <w:r>
        <w:rPr>
          <w:sz w:val="24"/>
          <w:szCs w:val="24"/>
          <w:lang w:val="en-GB"/>
        </w:rPr>
        <w:t>AlAfnan</w:t>
      </w:r>
      <w:proofErr w:type="spellEnd"/>
      <w:r>
        <w:rPr>
          <w:sz w:val="24"/>
          <w:szCs w:val="24"/>
          <w:lang w:val="en-GB"/>
        </w:rPr>
        <w:t xml:space="preserve">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w:t>
      </w:r>
      <w:proofErr w:type="spellStart"/>
      <w:r>
        <w:rPr>
          <w:sz w:val="24"/>
          <w:szCs w:val="24"/>
          <w:lang w:val="en-GB"/>
        </w:rPr>
        <w:t>Ethnologue</w:t>
      </w:r>
      <w:proofErr w:type="spellEnd"/>
      <w:r>
        <w:rPr>
          <w:sz w:val="24"/>
          <w:szCs w:val="24"/>
          <w:lang w:val="en-GB"/>
        </w:rPr>
        <w:t xml:space="preserve"> figures, Coluzzi (2017) records around 140 languages in use in the country, and reports that code-mixing between a speaker's first languages and English or Malay is widespread in everyday communication. </w:t>
      </w:r>
      <w:proofErr w:type="spellStart"/>
      <w:r>
        <w:rPr>
          <w:sz w:val="24"/>
          <w:szCs w:val="24"/>
          <w:lang w:val="en-GB"/>
        </w:rPr>
        <w:t>AlAfnan</w:t>
      </w:r>
      <w:proofErr w:type="spellEnd"/>
      <w:r>
        <w:rPr>
          <w:sz w:val="24"/>
          <w:szCs w:val="24"/>
          <w:lang w:val="en-GB"/>
        </w:rPr>
        <w:t xml:space="preserve"> et al. (2025) report that English and Malay are among the languages most frequently combined in Malaysian written communication. The same study describes social media users alternating between the two </w:t>
      </w:r>
      <w:r w:rsidR="00247B5D">
        <w:rPr>
          <w:sz w:val="24"/>
          <w:szCs w:val="24"/>
          <w:lang w:val="en-GB"/>
        </w:rPr>
        <w:t xml:space="preserve">languages </w:t>
      </w:r>
      <w:r>
        <w:rPr>
          <w:sz w:val="24"/>
          <w:szCs w:val="24"/>
          <w:lang w:val="en-GB"/>
        </w:rPr>
        <w:t xml:space="preserve">within a single message rather than writing in one language at a time. Two local terms are used for this code-mixed writing, and they refer to different combinations of languages. </w:t>
      </w:r>
      <w:proofErr w:type="spellStart"/>
      <w:r>
        <w:rPr>
          <w:sz w:val="24"/>
          <w:szCs w:val="24"/>
          <w:lang w:val="en-GB"/>
        </w:rPr>
        <w:t>AlAfnan</w:t>
      </w:r>
      <w:proofErr w:type="spellEnd"/>
      <w:r>
        <w:rPr>
          <w:sz w:val="24"/>
          <w:szCs w:val="24"/>
          <w:lang w:val="en-GB"/>
        </w:rPr>
        <w:t xml:space="preserve"> et al. (2025) describe </w:t>
      </w:r>
      <w:r>
        <w:rPr>
          <w:i/>
          <w:iCs/>
          <w:sz w:val="24"/>
          <w:szCs w:val="24"/>
          <w:lang w:val="en-GB"/>
        </w:rPr>
        <w:t>Manglish</w:t>
      </w:r>
      <w:r>
        <w:rPr>
          <w:sz w:val="24"/>
          <w:szCs w:val="24"/>
          <w:lang w:val="en-GB"/>
        </w:rPr>
        <w:t xml:space="preserve"> as a hybrid form that combines Malay and English, whereas </w:t>
      </w:r>
      <w:proofErr w:type="spellStart"/>
      <w:r>
        <w:rPr>
          <w:sz w:val="24"/>
          <w:szCs w:val="24"/>
          <w:lang w:val="en-GB"/>
        </w:rPr>
        <w:t>Romadhona</w:t>
      </w:r>
      <w:proofErr w:type="spellEnd"/>
      <w:r>
        <w:rPr>
          <w:sz w:val="24"/>
          <w:szCs w:val="24"/>
          <w:lang w:val="en-GB"/>
        </w:rPr>
        <w:t xml:space="preserve"> et al. (2022) describe </w:t>
      </w:r>
      <w:r>
        <w:rPr>
          <w:i/>
          <w:iCs/>
          <w:sz w:val="24"/>
          <w:szCs w:val="24"/>
          <w:lang w:val="en-GB"/>
        </w:rPr>
        <w:t>Bahasa Rojak</w:t>
      </w:r>
      <w:r>
        <w:rPr>
          <w:sz w:val="24"/>
          <w:szCs w:val="24"/>
          <w:lang w:val="en-GB"/>
        </w:rPr>
        <w:t xml:space="preserve"> as a variety that combines English, Malay and Chinese. This review is concerned with Malay</w:t>
      </w:r>
      <w:r w:rsidR="00247B5D">
        <w:rPr>
          <w:sz w:val="24"/>
          <w:szCs w:val="24"/>
          <w:lang w:val="en-GB"/>
        </w:rPr>
        <w:t>-</w:t>
      </w:r>
      <w:r>
        <w:rPr>
          <w:sz w:val="24"/>
          <w:szCs w:val="24"/>
          <w:lang w:val="en-GB"/>
        </w:rPr>
        <w:t xml:space="preserve">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w:t>
      </w:r>
      <w:proofErr w:type="spellStart"/>
      <w:r>
        <w:rPr>
          <w:sz w:val="24"/>
          <w:szCs w:val="24"/>
          <w:lang w:val="en-GB"/>
        </w:rPr>
        <w:t>AlAfnan</w:t>
      </w:r>
      <w:proofErr w:type="spellEnd"/>
      <w:r>
        <w:rPr>
          <w:sz w:val="24"/>
          <w:szCs w:val="24"/>
          <w:lang w:val="en-GB"/>
        </w:rPr>
        <w:t xml:space="preserve">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w:t>
      </w:r>
      <w:r w:rsidR="00920A5C">
        <w:rPr>
          <w:sz w:val="24"/>
          <w:szCs w:val="24"/>
          <w:lang w:val="en-GB"/>
        </w:rPr>
        <w:t xml:space="preserve">is </w:t>
      </w:r>
      <w:r>
        <w:rPr>
          <w:sz w:val="24"/>
          <w:szCs w:val="24"/>
          <w:lang w:val="en-GB"/>
        </w:rPr>
        <w:t xml:space="preserve">systematic rather than random. </w:t>
      </w:r>
      <w:proofErr w:type="spellStart"/>
      <w:r>
        <w:rPr>
          <w:sz w:val="24"/>
          <w:szCs w:val="24"/>
          <w:lang w:val="en-GB"/>
        </w:rPr>
        <w:t>Treffers</w:t>
      </w:r>
      <w:proofErr w:type="spellEnd"/>
      <w:r>
        <w:rPr>
          <w:sz w:val="24"/>
          <w:szCs w:val="24"/>
          <w:lang w:val="en-GB"/>
        </w:rPr>
        <w:t xml:space="preserve">-Daller et al. (2022) analyse the classroom speech of two Malaysian teachers of English and find that Malay-English switching there follows describable syntactic patterns. </w:t>
      </w:r>
      <w:proofErr w:type="spellStart"/>
      <w:r>
        <w:rPr>
          <w:sz w:val="24"/>
          <w:szCs w:val="24"/>
          <w:lang w:val="en-GB"/>
        </w:rPr>
        <w:t>AlAfnan</w:t>
      </w:r>
      <w:proofErr w:type="spellEnd"/>
      <w:r>
        <w:rPr>
          <w:sz w:val="24"/>
          <w:szCs w:val="24"/>
          <w:lang w:val="en-GB"/>
        </w:rPr>
        <w:t xml:space="preserve">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w:t>
      </w:r>
      <w:proofErr w:type="spellStart"/>
      <w:r>
        <w:rPr>
          <w:sz w:val="24"/>
          <w:szCs w:val="24"/>
          <w:lang w:val="en-GB"/>
        </w:rPr>
        <w:t>Maskat</w:t>
      </w:r>
      <w:proofErr w:type="spellEnd"/>
      <w:r>
        <w:rPr>
          <w:sz w:val="24"/>
          <w:szCs w:val="24"/>
          <w:lang w:val="en-GB"/>
        </w:rPr>
        <w:t xml:space="preserve"> and Rahman (2020) document the Malay negator </w:t>
      </w:r>
      <w:proofErr w:type="spellStart"/>
      <w:r>
        <w:rPr>
          <w:i/>
          <w:iCs/>
          <w:sz w:val="24"/>
          <w:szCs w:val="24"/>
          <w:lang w:val="en-GB"/>
        </w:rPr>
        <w:t>tidak</w:t>
      </w:r>
      <w:proofErr w:type="spellEnd"/>
      <w:r>
        <w:rPr>
          <w:sz w:val="24"/>
          <w:szCs w:val="24"/>
          <w:lang w:val="en-GB"/>
        </w:rPr>
        <w:t xml:space="preserve"> being written as </w:t>
      </w:r>
      <w:r>
        <w:rPr>
          <w:i/>
          <w:iCs/>
          <w:sz w:val="24"/>
          <w:szCs w:val="24"/>
          <w:lang w:val="en-GB"/>
        </w:rPr>
        <w:t>x</w:t>
      </w:r>
      <w:r>
        <w:rPr>
          <w:sz w:val="24"/>
          <w:szCs w:val="24"/>
          <w:lang w:val="en-GB"/>
        </w:rPr>
        <w:t xml:space="preserve">, and </w:t>
      </w:r>
      <w:proofErr w:type="spellStart"/>
      <w:r>
        <w:rPr>
          <w:i/>
          <w:iCs/>
          <w:sz w:val="24"/>
          <w:szCs w:val="24"/>
          <w:lang w:val="en-GB"/>
        </w:rPr>
        <w:t>tidak</w:t>
      </w:r>
      <w:proofErr w:type="spellEnd"/>
      <w:r>
        <w:rPr>
          <w:i/>
          <w:iCs/>
          <w:sz w:val="24"/>
          <w:szCs w:val="24"/>
          <w:lang w:val="en-GB"/>
        </w:rPr>
        <w:t xml:space="preserve"> </w:t>
      </w:r>
      <w:proofErr w:type="spellStart"/>
      <w:r>
        <w:rPr>
          <w:i/>
          <w:iCs/>
          <w:sz w:val="24"/>
          <w:szCs w:val="24"/>
          <w:lang w:val="en-GB"/>
        </w:rPr>
        <w:t>ada</w:t>
      </w:r>
      <w:proofErr w:type="spellEnd"/>
      <w:r>
        <w:rPr>
          <w:sz w:val="24"/>
          <w:szCs w:val="24"/>
          <w:lang w:val="en-GB"/>
        </w:rPr>
        <w:t xml:space="preserve"> being written as </w:t>
      </w:r>
      <w:proofErr w:type="spellStart"/>
      <w:r>
        <w:rPr>
          <w:i/>
          <w:iCs/>
          <w:sz w:val="24"/>
          <w:szCs w:val="24"/>
          <w:lang w:val="en-GB"/>
        </w:rPr>
        <w:t>takde</w:t>
      </w:r>
      <w:proofErr w:type="spellEnd"/>
      <w:r>
        <w:rPr>
          <w:sz w:val="24"/>
          <w:szCs w:val="24"/>
          <w:lang w:val="en-GB"/>
        </w:rPr>
        <w:t xml:space="preserve">, </w:t>
      </w:r>
      <w:proofErr w:type="spellStart"/>
      <w:r>
        <w:rPr>
          <w:i/>
          <w:iCs/>
          <w:sz w:val="24"/>
          <w:szCs w:val="24"/>
          <w:lang w:val="en-GB"/>
        </w:rPr>
        <w:t>xde</w:t>
      </w:r>
      <w:proofErr w:type="spellEnd"/>
      <w:r>
        <w:rPr>
          <w:sz w:val="24"/>
          <w:szCs w:val="24"/>
          <w:lang w:val="en-GB"/>
        </w:rPr>
        <w:t xml:space="preserve"> or </w:t>
      </w:r>
      <w:proofErr w:type="spellStart"/>
      <w:r>
        <w:rPr>
          <w:i/>
          <w:iCs/>
          <w:sz w:val="24"/>
          <w:szCs w:val="24"/>
          <w:lang w:val="en-GB"/>
        </w:rPr>
        <w:t>tade</w:t>
      </w:r>
      <w:proofErr w:type="spellEnd"/>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w:t>
      </w:r>
      <w:proofErr w:type="spellStart"/>
      <w:r>
        <w:rPr>
          <w:sz w:val="24"/>
          <w:szCs w:val="24"/>
          <w:lang w:val="en-GB"/>
        </w:rPr>
        <w:t>Maskat</w:t>
      </w:r>
      <w:proofErr w:type="spellEnd"/>
      <w:r>
        <w:rPr>
          <w:sz w:val="24"/>
          <w:szCs w:val="24"/>
          <w:lang w:val="en-GB"/>
        </w:rPr>
        <w:t xml:space="preserve">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r>
      <w:r>
        <w:rPr>
          <w:sz w:val="24"/>
          <w:szCs w:val="24"/>
          <w:lang w:val="en-GB"/>
        </w:rPr>
        <w:lastRenderedPageBreak/>
        <w:t>explanation concerns the model architecture (</w:t>
      </w:r>
      <w:proofErr w:type="spellStart"/>
      <w:r>
        <w:rPr>
          <w:sz w:val="24"/>
          <w:szCs w:val="24"/>
          <w:lang w:val="en-GB"/>
        </w:rPr>
        <w:t>Doğruöz</w:t>
      </w:r>
      <w:proofErr w:type="spellEnd"/>
      <w:r>
        <w:rPr>
          <w:sz w:val="24"/>
          <w:szCs w:val="24"/>
          <w:lang w:val="en-GB"/>
        </w:rPr>
        <w:t xml:space="preserve">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w:t>
      </w:r>
      <w:proofErr w:type="spellStart"/>
      <w:r>
        <w:rPr>
          <w:sz w:val="24"/>
          <w:szCs w:val="24"/>
          <w:lang w:val="en-GB"/>
        </w:rPr>
        <w:t>Adilazuarda</w:t>
      </w:r>
      <w:proofErr w:type="spellEnd"/>
      <w:r>
        <w:rPr>
          <w:sz w:val="24"/>
          <w:szCs w:val="24"/>
          <w:lang w:val="en-GB"/>
        </w:rPr>
        <w:t xml:space="preserve">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w:t>
      </w:r>
      <w:proofErr w:type="spellStart"/>
      <w:r>
        <w:rPr>
          <w:sz w:val="24"/>
          <w:szCs w:val="24"/>
          <w:lang w:val="en-GB"/>
        </w:rPr>
        <w:t>Conneau</w:t>
      </w:r>
      <w:proofErr w:type="spellEnd"/>
      <w:r>
        <w:rPr>
          <w:sz w:val="24"/>
          <w:szCs w:val="24"/>
          <w:lang w:val="en-GB"/>
        </w:rPr>
        <w:t xml:space="preserve">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w:t>
      </w:r>
      <w:proofErr w:type="spellStart"/>
      <w:r>
        <w:rPr>
          <w:sz w:val="24"/>
          <w:szCs w:val="24"/>
          <w:lang w:val="en-GB"/>
        </w:rPr>
        <w:t>Doğruöz</w:t>
      </w:r>
      <w:proofErr w:type="spellEnd"/>
      <w:r>
        <w:rPr>
          <w:sz w:val="24"/>
          <w:szCs w:val="24"/>
          <w:lang w:val="en-GB"/>
        </w:rPr>
        <w:t xml:space="preserve">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w:t>
      </w:r>
      <w:proofErr w:type="spellStart"/>
      <w:r>
        <w:rPr>
          <w:sz w:val="24"/>
          <w:szCs w:val="24"/>
          <w:lang w:val="en-GB"/>
        </w:rPr>
        <w:t>Frénay</w:t>
      </w:r>
      <w:proofErr w:type="spellEnd"/>
      <w:r>
        <w:rPr>
          <w:sz w:val="24"/>
          <w:szCs w:val="24"/>
          <w:lang w:val="en-GB"/>
        </w:rPr>
        <w:t xml:space="preserve"> and </w:t>
      </w:r>
      <w:proofErr w:type="spellStart"/>
      <w:r>
        <w:rPr>
          <w:sz w:val="24"/>
          <w:szCs w:val="24"/>
          <w:lang w:val="en-GB"/>
        </w:rPr>
        <w:t>Verleysen</w:t>
      </w:r>
      <w:proofErr w:type="spellEnd"/>
      <w:r>
        <w:rPr>
          <w:sz w:val="24"/>
          <w:szCs w:val="24"/>
          <w:lang w:val="en-GB"/>
        </w:rPr>
        <w:t>,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Those two stages apply to supervised learning in general. For Malaysian Malay-English code-mixed sentiment data in particular, the question is whether the model or the sentiment labels are the greater constraint at present. Three findings point to the labels, and each is developed in the sections that follow. First, this review identifies four Malay-English sentiment resources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w:t>
      </w:r>
      <w:r>
        <w:rPr>
          <w:sz w:val="24"/>
          <w:szCs w:val="24"/>
          <w:lang w:val="en-GB"/>
        </w:rPr>
        <w:lastRenderedPageBreak/>
        <w:t>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can therefore make Cohen's </w:t>
      </w:r>
      <w:r>
        <w:rPr>
          <w:i/>
          <w:iCs/>
          <w:sz w:val="24"/>
          <w:szCs w:val="24"/>
          <w:lang w:val="en-GB"/>
        </w:rPr>
        <w:t>κ</w:t>
      </w:r>
      <w:r>
        <w:rPr>
          <w:sz w:val="24"/>
          <w:szCs w:val="24"/>
          <w:lang w:val="en-GB"/>
        </w:rPr>
        <w:t>, the statistic named in the third, more difficult to interpret. Neither correction would be sufficient without the other. These four resources are therefore limited both in what they contain and in what is known about the reliability of their labels. That shortage is not confined to them, since Selvaraju et al. (2024) report that comprehensive datasets and annotated resources for code-mixed Malay text are still lacking more generally.</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w:t>
      </w:r>
      <w:proofErr w:type="spellStart"/>
      <w:r>
        <w:rPr>
          <w:sz w:val="24"/>
          <w:szCs w:val="24"/>
          <w:lang w:val="en-GB"/>
        </w:rPr>
        <w:t>arXiv</w:t>
      </w:r>
      <w:proofErr w:type="spellEnd"/>
      <w:r>
        <w:rPr>
          <w:sz w:val="24"/>
          <w:szCs w:val="24"/>
          <w:lang w:val="en-GB"/>
        </w:rPr>
        <w:t>,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The rest of this paper is organised as follows. Section 2 explains why Malaysian code-mixed writing is difficult to annotate. Section 3 examines annotation practice and its failure modes, and Section 4 examines the models that are used as annotators. Section 5 discusses how annotation reliability is evaluated. Section 6 brings these findings together and sets out directions for future research, and Section 7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Default="00C127AD" w:rsidP="001B76A7">
      <w:pPr>
        <w:tabs>
          <w:tab w:val="left" w:pos="24"/>
        </w:tabs>
        <w:jc w:val="both"/>
        <w:rPr>
          <w:b/>
          <w:sz w:val="26"/>
          <w:szCs w:val="26"/>
        </w:rPr>
      </w:pPr>
      <w:r>
        <w:rPr>
          <w:b/>
          <w:sz w:val="26"/>
          <w:szCs w:val="26"/>
        </w:rPr>
        <w:t>2. Why Malaysian Code-Mixed Text Is Difficult to Annotate</w:t>
      </w:r>
    </w:p>
    <w:p w14:paraId="3551DF2A" w14:textId="0E340E94" w:rsidR="00DC3302" w:rsidRPr="006546A0" w:rsidRDefault="00DC3302" w:rsidP="00033FFC">
      <w:pPr>
        <w:spacing w:before="120"/>
        <w:ind w:firstLine="244"/>
        <w:jc w:val="both"/>
        <w:rPr>
          <w:sz w:val="24"/>
          <w:szCs w:val="24"/>
        </w:rPr>
      </w:pPr>
      <w:r>
        <w:rPr>
          <w:sz w:val="24"/>
          <w:szCs w:val="24"/>
        </w:rPr>
        <w:t>Section 1 identified the sentiment labels</w:t>
      </w:r>
      <w:r w:rsidR="00FB5522">
        <w:rPr>
          <w:sz w:val="24"/>
          <w:szCs w:val="24"/>
        </w:rPr>
        <w:t xml:space="preserve"> </w:t>
      </w:r>
      <w:r>
        <w:rPr>
          <w:sz w:val="24"/>
          <w:szCs w:val="24"/>
        </w:rPr>
        <w:t>as the greater constraint on sentiment analysis of Malaysian Malay-English text</w:t>
      </w:r>
      <w:r w:rsidR="00FB5522">
        <w:rPr>
          <w:sz w:val="24"/>
          <w:szCs w:val="24"/>
        </w:rPr>
        <w:t xml:space="preserve">, </w:t>
      </w:r>
      <w:r w:rsidR="00FB5522">
        <w:rPr>
          <w:sz w:val="24"/>
          <w:szCs w:val="24"/>
        </w:rPr>
        <w:t>rather than the model</w:t>
      </w:r>
      <w:r>
        <w:rPr>
          <w:sz w:val="24"/>
          <w:szCs w:val="24"/>
        </w:rPr>
        <w:t>. Annotation practice is examined in Section 3. The text being annotated is described first, because three of its linguistic properties affect the annotation task directly. The first property is that switching between Malay and English occurs inside the sentence. The boundary between the two languages therefore does not show where the opinion in a message is located. The second property concerns the affect of a message, meaning the emotional attitude it expresses. That affect can be carried by Malay particles, and these particles appear in no standard sentiment lexicon. The third property is that phonetic spelling gives a single word many written forms. All three properties are described in the sociolinguistic literature on Malay-English contact (Muysken, 2013; Treffers-Daller et al., 2022; AlAfnan et al., 2025). Each property is presented below together with its consequence for the annotator. The annotator may be a human or an automatic labelling method.</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jc w:val="both"/>
        <w:rPr>
          <w:b/>
          <w:bCs/>
          <w:szCs w:val="24"/>
        </w:rPr>
      </w:pPr>
      <w:r>
        <w:rPr>
          <w:b/>
          <w:bCs/>
          <w:sz w:val="24"/>
          <w:szCs w:val="24"/>
        </w:rPr>
        <w:t xml:space="preserve">2.1 </w:t>
      </w:r>
      <w:r>
        <w:rPr>
          <w:b/>
          <w:bCs/>
          <w:sz w:val="24"/>
          <w:szCs w:val="32"/>
        </w:rPr>
        <w:t>Switching occurs within the sentence and offers little reliable structural cue</w:t>
      </w:r>
    </w:p>
    <w:p w14:paraId="771C5928" w14:textId="4A0FA306" w:rsidR="00F379CB" w:rsidRPr="006546A0" w:rsidRDefault="00F379CB" w:rsidP="006C2993">
      <w:pPr>
        <w:spacing w:before="120"/>
        <w:ind w:firstLine="244"/>
        <w:jc w:val="both"/>
        <w:rPr>
          <w:sz w:val="24"/>
          <w:szCs w:val="24"/>
        </w:rPr>
      </w:pPr>
      <w:r>
        <w:rPr>
          <w:sz w:val="24"/>
          <w:szCs w:val="24"/>
        </w:rPr>
        <w:t>Treffers-Daller et al. (2022) analysed 1,044 switched utterances from the classroom speech of two Malaysian teachers of English. In their data, the majority of the switches occurred within the clause rather than between clauses. Insertion accounted for 33.0% of the switches. In insertion, a word or phrase from one language is placed inside a stretch of the other. Congruent lexicalisation accounted for a further 30.7%. In congruent lexicalisation, words from both languages are combined within a single shared word order. Alternation between whole clauses accounted for 24.8%. The authors attribute this distribution to the structure of the two languages rather than to the style of the speakers. English and Malay share the same basic word order. In both languages, the subject comes before the verb and the verb before the object</w:t>
      </w:r>
      <w:r w:rsidR="00FB5522">
        <w:rPr>
          <w:sz w:val="24"/>
          <w:szCs w:val="24"/>
        </w:rPr>
        <w:t xml:space="preserve"> known as Subject-Verb-Object (SVO)</w:t>
      </w:r>
      <w:r>
        <w:rPr>
          <w:sz w:val="24"/>
          <w:szCs w:val="24"/>
        </w:rPr>
        <w:t>. Malay also has very little inflectional morphology. Inflectional morphology refers to changes in the form of a word that mark grammatical features such as tense. A speaker can therefore move from one language to the other in the middle of a clause with little grammatical adjustment (Treffers-Daller et al., 2022; Muysken, 2013).</w:t>
      </w:r>
    </w:p>
    <w:p w14:paraId="15955C0E" w14:textId="34F0B6B4" w:rsidR="00F379CB" w:rsidRPr="00E10A8D" w:rsidRDefault="00E10A8D" w:rsidP="00E10A8D">
      <w:pPr>
        <w:spacing w:before="120"/>
        <w:ind w:firstLine="244"/>
        <w:jc w:val="both"/>
        <w:rPr>
          <w:sz w:val="24"/>
          <w:szCs w:val="24"/>
          <w:lang w:val="en-GB"/>
        </w:rPr>
      </w:pPr>
      <w:r>
        <w:rPr>
          <w:sz w:val="24"/>
          <w:szCs w:val="24"/>
          <w:lang w:val="en-GB"/>
        </w:rPr>
        <w:t xml:space="preserve">These proportions were measured on spoken classroom data. They should therefore not be taken as the proportions in social media text. </w:t>
      </w:r>
      <w:r w:rsidR="00FB5522">
        <w:rPr>
          <w:sz w:val="24"/>
          <w:szCs w:val="24"/>
          <w:lang w:val="en-GB"/>
        </w:rPr>
        <w:t>However, t</w:t>
      </w:r>
      <w:r>
        <w:rPr>
          <w:sz w:val="24"/>
          <w:szCs w:val="24"/>
          <w:lang w:val="en-GB"/>
        </w:rPr>
        <w:t xml:space="preserve">he explanation given by the authors, concerns the structure of the two languages and </w:t>
      </w:r>
      <w:r>
        <w:rPr>
          <w:sz w:val="24"/>
          <w:szCs w:val="24"/>
          <w:lang w:val="en-GB"/>
        </w:rPr>
        <w:lastRenderedPageBreak/>
        <w:t xml:space="preserve">not the medium in which they are used. The same type of switching can therefore be expected in writing. Mohd Shamsuddin et al. (2024) give a written example in the post "Does institut kanser offer free medication cheap chemotherapy". Here the Malay noun phrase </w:t>
      </w:r>
      <w:r>
        <w:rPr>
          <w:i/>
          <w:sz w:val="24"/>
          <w:szCs w:val="24"/>
          <w:lang w:val="en-GB"/>
        </w:rPr>
        <w:t>institut kanser</w:t>
      </w:r>
      <w:r>
        <w:rPr>
          <w:sz w:val="24"/>
          <w:szCs w:val="24"/>
          <w:lang w:val="en-GB"/>
        </w:rPr>
        <w:t xml:space="preserve"> is placed inside an English question. The phrase follows Malay word order, in which the noun comes before its modifier.</w:t>
      </w:r>
    </w:p>
    <w:p w14:paraId="1DF936C4" w14:textId="77777777" w:rsidR="0040646E" w:rsidRDefault="00F379CB" w:rsidP="00B30939">
      <w:pPr>
        <w:spacing w:before="120"/>
        <w:ind w:firstLine="244"/>
        <w:jc w:val="both"/>
        <w:rPr>
          <w:sz w:val="24"/>
          <w:szCs w:val="24"/>
        </w:rPr>
      </w:pPr>
      <w:r>
        <w:rPr>
          <w:sz w:val="24"/>
          <w:szCs w:val="24"/>
        </w:rPr>
        <w:t>The consequence for annotation is that the annotator cannot use the boundary between the two languages to locate the part of the message that carries the sentiment. In monolingual annotation, locating that part is a separate step from judging its polarity. Aspect-based sentiment analysis is one task in which the two steps are separate. In that task, a sentiment label is assigned to each entity or attribute mentioned in a text rather than to the text as a whole (Nazir et al., 2022). In the annotation scheme described by Pontiki et al. (2016), the annotator first marks the words that express the opinion as a span. A span is a marked stretch of text. The annotator then assigns a polarity label to that span. In Malay-English mixed text, the annotator has no language boundary to guide the first step. Deciding which span to judge already requires interpretation. Two annotators may therefore assign different labels because they are judging different parts of the message, not because they judge the sentiment differently. Disagreement about which part of a message to judge is therefore separate from disagreement about its polarity. The first of these two disagreements also arises before the second.</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2FC4519F" w14:textId="77777777" w:rsidR="0040646E" w:rsidRDefault="0040646E" w:rsidP="0040646E">
      <w:pPr>
        <w:spacing w:before="120"/>
        <w:ind w:firstLine="244"/>
        <w:jc w:val="both"/>
        <w:rPr>
          <w:sz w:val="24"/>
          <w:szCs w:val="24"/>
          <w:lang w:val="en-GB"/>
        </w:rPr>
      </w:pPr>
      <w:r>
        <w:rPr>
          <w:sz w:val="24"/>
          <w:szCs w:val="24"/>
          <w:lang w:val="en-GB"/>
        </w:rPr>
        <w:t xml:space="preserve">Locating the part of the message that carries the opinion is the first difficulty. A second difficulty arises once that part has been located. The word that carries the affect may be a Malay particle. That particle may be attached to a clause that is otherwise entirely English. Muysken (2013) terms this construction back-flagging. Treffers-Daller et al. (2022) define back-flagging as the attachment of a discourse marker or a coordinating conjunction from a speaker's first language to a stretch of speech in the second language. In their data, back-flagging accounts for 121 of the 1,044 switched utterances, or 11.6%. The particle involved most frequently is </w:t>
      </w:r>
      <w:r>
        <w:rPr>
          <w:i/>
          <w:sz w:val="24"/>
          <w:szCs w:val="24"/>
          <w:lang w:val="en-GB"/>
        </w:rPr>
        <w:t>lah</w:t>
      </w:r>
      <w:r>
        <w:rPr>
          <w:sz w:val="24"/>
          <w:szCs w:val="24"/>
          <w:lang w:val="en-GB"/>
        </w:rPr>
        <w:t xml:space="preserve"> (Treffers-Daller et al., 2022). The same study reports that </w:t>
      </w:r>
      <w:r>
        <w:rPr>
          <w:i/>
          <w:sz w:val="24"/>
          <w:szCs w:val="24"/>
          <w:lang w:val="en-GB"/>
        </w:rPr>
        <w:t>lah</w:t>
      </w:r>
      <w:r>
        <w:rPr>
          <w:sz w:val="24"/>
          <w:szCs w:val="24"/>
          <w:lang w:val="en-GB"/>
        </w:rPr>
        <w:t xml:space="preserve"> can attach to a clause that is entirely English, entirely Malay or mixed. Two examples that the study reproduces from earlier descriptive work are "Buy this lah" and "you understand lah kan".</w:t>
      </w:r>
    </w:p>
    <w:p w14:paraId="197C1B47" w14:textId="1DCF3631" w:rsidR="0040646E" w:rsidRDefault="0040646E" w:rsidP="0040646E">
      <w:pPr>
        <w:spacing w:before="120"/>
        <w:ind w:firstLine="244"/>
        <w:jc w:val="both"/>
        <w:rPr>
          <w:sz w:val="24"/>
          <w:szCs w:val="24"/>
          <w:lang w:val="en-GB"/>
        </w:rPr>
      </w:pPr>
      <w:r>
        <w:rPr>
          <w:sz w:val="24"/>
          <w:szCs w:val="24"/>
          <w:lang w:val="en-GB"/>
        </w:rPr>
        <w:t xml:space="preserve">These particles contribute to the tone of a sentence rather than to its factual content. AlAfnan et al. (2025) classify particles as a lexical feature of Manglish. In their account, particles add emphasis or tone and signal politeness or informality. They also list particles among the features that distinguish Manglish from standard English and standard Malay. </w:t>
      </w:r>
      <w:r w:rsidR="00BD1B9B">
        <w:rPr>
          <w:sz w:val="24"/>
          <w:szCs w:val="24"/>
          <w:lang w:val="en-GB"/>
        </w:rPr>
        <w:t>A</w:t>
      </w:r>
      <w:r w:rsidR="00BD1B9B">
        <w:rPr>
          <w:sz w:val="24"/>
          <w:szCs w:val="24"/>
          <w:lang w:val="en-GB"/>
        </w:rPr>
        <w:t>ccording to the same study</w:t>
      </w:r>
      <w:r w:rsidR="00BD1B9B">
        <w:rPr>
          <w:sz w:val="24"/>
          <w:szCs w:val="24"/>
          <w:lang w:val="en-GB"/>
        </w:rPr>
        <w:t>, o</w:t>
      </w:r>
      <w:r>
        <w:rPr>
          <w:sz w:val="24"/>
          <w:szCs w:val="24"/>
          <w:lang w:val="en-GB"/>
        </w:rPr>
        <w:t xml:space="preserve">ne function of these particles is to soften an instruction. The example given is "Don't disturb la, he's busy", in which the particle makes the instruction less direct. Treffers-Daller et al. (2022) describe the same effect for </w:t>
      </w:r>
      <w:r>
        <w:rPr>
          <w:i/>
          <w:sz w:val="24"/>
          <w:szCs w:val="24"/>
          <w:lang w:val="en-GB"/>
        </w:rPr>
        <w:t>lah</w:t>
      </w:r>
      <w:r>
        <w:rPr>
          <w:sz w:val="24"/>
          <w:szCs w:val="24"/>
          <w:lang w:val="en-GB"/>
        </w:rPr>
        <w:t xml:space="preserve">. They report that </w:t>
      </w:r>
      <w:r>
        <w:rPr>
          <w:i/>
          <w:sz w:val="24"/>
          <w:szCs w:val="24"/>
          <w:lang w:val="en-GB"/>
        </w:rPr>
        <w:t>lah</w:t>
      </w:r>
      <w:r>
        <w:rPr>
          <w:sz w:val="24"/>
          <w:szCs w:val="24"/>
          <w:lang w:val="en-GB"/>
        </w:rPr>
        <w:t xml:space="preserve"> can shift an utterance from a highly assertive tone to a polite request or a friendly encouragement. In both accounts, the particle leaves what the sentence states unchanged. What the particle </w:t>
      </w:r>
      <w:r>
        <w:rPr>
          <w:sz w:val="24"/>
          <w:szCs w:val="24"/>
          <w:lang w:val="en-GB"/>
        </w:rPr>
        <w:lastRenderedPageBreak/>
        <w:t>alters is the attitude the sentence conveys. That attitude is the property a sentiment label is intended to record.</w:t>
      </w:r>
    </w:p>
    <w:p w14:paraId="492F3674" w14:textId="24B85EF4" w:rsidR="0040646E" w:rsidRDefault="0040646E" w:rsidP="0040646E">
      <w:pPr>
        <w:spacing w:before="120"/>
        <w:ind w:firstLine="244"/>
        <w:jc w:val="both"/>
        <w:rPr>
          <w:sz w:val="24"/>
          <w:szCs w:val="24"/>
          <w:lang w:val="en-GB"/>
        </w:rPr>
      </w:pPr>
      <w:r>
        <w:rPr>
          <w:sz w:val="24"/>
          <w:szCs w:val="24"/>
          <w:lang w:val="en-GB"/>
        </w:rPr>
        <w:t xml:space="preserve">Two limits on this evidence should be noted. Treffers-Daller et al. (2022) supply frequencies. </w:t>
      </w:r>
      <w:r w:rsidR="00BD1B9B">
        <w:rPr>
          <w:sz w:val="24"/>
          <w:szCs w:val="24"/>
          <w:lang w:val="en-GB"/>
        </w:rPr>
        <w:t>H</w:t>
      </w:r>
      <w:r w:rsidR="00BD1B9B">
        <w:rPr>
          <w:sz w:val="24"/>
          <w:szCs w:val="24"/>
          <w:lang w:val="en-GB"/>
        </w:rPr>
        <w:t>owever</w:t>
      </w:r>
      <w:r w:rsidR="00BD1B9B">
        <w:rPr>
          <w:sz w:val="24"/>
          <w:szCs w:val="24"/>
          <w:lang w:val="en-GB"/>
        </w:rPr>
        <w:t>, t</w:t>
      </w:r>
      <w:r>
        <w:rPr>
          <w:sz w:val="24"/>
          <w:szCs w:val="24"/>
          <w:lang w:val="en-GB"/>
        </w:rPr>
        <w:t xml:space="preserve">heir corpus is fifteen hours of recorded classroom teaching by each of two university English lecturers. Their frequencies should therefore not be read as frequencies for social media writing. AlAfnan et al. (2025) describe Malaysian usage more broadly. </w:t>
      </w:r>
      <w:r w:rsidR="00BD1B9B">
        <w:rPr>
          <w:sz w:val="24"/>
          <w:szCs w:val="24"/>
          <w:lang w:val="en-GB"/>
        </w:rPr>
        <w:t>H</w:t>
      </w:r>
      <w:r w:rsidR="00BD1B9B">
        <w:rPr>
          <w:sz w:val="24"/>
          <w:szCs w:val="24"/>
          <w:lang w:val="en-GB"/>
        </w:rPr>
        <w:t>owever</w:t>
      </w:r>
      <w:r w:rsidR="00BD1B9B">
        <w:rPr>
          <w:sz w:val="24"/>
          <w:szCs w:val="24"/>
          <w:lang w:val="en-GB"/>
        </w:rPr>
        <w:t>, t</w:t>
      </w:r>
      <w:r>
        <w:rPr>
          <w:sz w:val="24"/>
          <w:szCs w:val="24"/>
          <w:lang w:val="en-GB"/>
        </w:rPr>
        <w:t>heir data</w:t>
      </w:r>
      <w:r w:rsidR="00BD1B9B">
        <w:rPr>
          <w:sz w:val="24"/>
          <w:szCs w:val="24"/>
          <w:lang w:val="en-GB"/>
        </w:rPr>
        <w:t xml:space="preserve"> </w:t>
      </w:r>
      <w:r>
        <w:rPr>
          <w:sz w:val="24"/>
          <w:szCs w:val="24"/>
          <w:lang w:val="en-GB"/>
        </w:rPr>
        <w:t xml:space="preserve">are scripted dialogue from Malaysian television series such as </w:t>
      </w:r>
      <w:r>
        <w:rPr>
          <w:i/>
          <w:sz w:val="24"/>
          <w:szCs w:val="24"/>
          <w:lang w:val="en-GB"/>
        </w:rPr>
        <w:t>Kopitiam</w:t>
      </w:r>
      <w:r>
        <w:rPr>
          <w:sz w:val="24"/>
          <w:szCs w:val="24"/>
          <w:lang w:val="en-GB"/>
        </w:rPr>
        <w:t xml:space="preserve"> and </w:t>
      </w:r>
      <w:r>
        <w:rPr>
          <w:i/>
          <w:sz w:val="24"/>
          <w:szCs w:val="24"/>
          <w:lang w:val="en-GB"/>
        </w:rPr>
        <w:t>KL Gangster</w:t>
      </w:r>
      <w:r>
        <w:rPr>
          <w:sz w:val="24"/>
          <w:szCs w:val="24"/>
          <w:lang w:val="en-GB"/>
        </w:rPr>
        <w:t>. Those data were examined through qualitative content analysis. That study therefore reports what the particles do, not how frequently they occur. Neither source establishes how frequently particles are used in Malaysian social media posts. What both sources do establish is that the construction recurs and that it carries affect.</w:t>
      </w:r>
    </w:p>
    <w:p w14:paraId="3348DACE" w14:textId="77777777" w:rsidR="0040646E" w:rsidRDefault="0040646E" w:rsidP="0040646E">
      <w:pPr>
        <w:spacing w:before="120"/>
        <w:ind w:firstLine="244"/>
        <w:jc w:val="both"/>
        <w:rPr>
          <w:sz w:val="24"/>
          <w:szCs w:val="24"/>
          <w:lang w:val="en-GB"/>
        </w:rPr>
      </w:pPr>
      <w:r>
        <w:rPr>
          <w:sz w:val="24"/>
          <w:szCs w:val="24"/>
          <w:lang w:val="en-GB"/>
        </w:rPr>
        <w:t>The consequence for annotation is that the particle indicates the tone of a message but does not determine its polarity. A reader of "Don't disturb la, he's busy" can see that the particle softens the instruction. A softened instruction can still be read in two ways. Under a negative reading, the writer is irritated. Under a neutral reading, the writer is being polite. Treffers-Daller et al. (2022) note the same difficulty for discourse markers as a whole, whose specific meanings are often difficult to capture even where their pragmatic functions can be evaluated. The particle therefore carries affect without showing which polarity that affect has. Two annotators may read the same particle differently, and both may be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Disagreement of this kind is not necessarily reduced by adding annotators. Pavlick and Kwiatkowski (2019) find that where an item can be read in more than one justifiable way, the disagreement between annotators is reproducible. The same disagreement appears again as further judgements are collected, and the judgements do not converge on a single label. A corpus built by majority vote over such items therefore records the majority reading as though it were the only justifiable one. The variation that the majority vote conceals is systematic rather than random. An agreement coefficient computed over such items therefore reflects genuine differences in interpretation rather than annotator error alone.</w:t>
      </w:r>
    </w:p>
    <w:p w14:paraId="29418EBF" w14:textId="77777777" w:rsidR="00B30939" w:rsidRDefault="0040646E" w:rsidP="00B30939">
      <w:pPr>
        <w:spacing w:before="120"/>
        <w:ind w:firstLine="244"/>
        <w:rPr>
          <w:sz w:val="24"/>
          <w:szCs w:val="24"/>
          <w:lang w:val="en-GB"/>
        </w:rPr>
      </w:pPr>
      <w:r>
        <w:rPr>
          <w:sz w:val="24"/>
          <w:szCs w:val="24"/>
          <w:lang w:val="en-GB"/>
        </w:rPr>
        <w:t>The first property examined in this section produces disagreement about which part of a message to judge. The second property produces disagreement about how to judge that part once it has been located. That disagreement arises because more than one reading of the part is justifiable.</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57E0F658" w14:textId="77777777" w:rsidR="00680263" w:rsidRDefault="00680263" w:rsidP="00680263">
      <w:pPr>
        <w:spacing w:before="120"/>
        <w:ind w:firstLine="244"/>
        <w:jc w:val="both"/>
        <w:rPr>
          <w:sz w:val="24"/>
          <w:szCs w:val="24"/>
          <w:lang w:val="en-GB"/>
        </w:rPr>
      </w:pPr>
      <w:r>
        <w:rPr>
          <w:sz w:val="24"/>
          <w:szCs w:val="24"/>
          <w:lang w:val="en-GB"/>
        </w:rPr>
        <w:t>The first two properties concern where the sentiment in a message is located and how it should be read. The third property concerns whether the words that carry the sentiment can be recognised at all. Maskat and Rahman (2020) document Malay social media users spelling words as they are pronounced rather than as a dictionary lists them. A single word can therefore appear in many written forms. Their corpus is 6,241 Twitter posts collected between 2014 and 2018. They call the language of these posts Social Media Malay Language and sort it into five categories. The categories are spelling variants, Malay-English mixed sentences, loan words spelled according to Malay pronunciation, slang-based spellings, and vowel-less words.</w:t>
      </w:r>
    </w:p>
    <w:p w14:paraId="6C578374" w14:textId="77777777" w:rsidR="00680263" w:rsidRDefault="00680263" w:rsidP="00680263">
      <w:pPr>
        <w:spacing w:before="120"/>
        <w:ind w:firstLine="244"/>
        <w:jc w:val="both"/>
        <w:rPr>
          <w:sz w:val="24"/>
          <w:szCs w:val="24"/>
          <w:lang w:val="en-GB"/>
        </w:rPr>
      </w:pPr>
      <w:r>
        <w:rPr>
          <w:sz w:val="24"/>
          <w:szCs w:val="24"/>
          <w:lang w:val="en-GB"/>
        </w:rPr>
        <w:lastRenderedPageBreak/>
        <w:t xml:space="preserve">Each category contains many forms. Among the spelling variants that Maskat and Rahman (2020) record, </w:t>
      </w:r>
      <w:r>
        <w:rPr>
          <w:i/>
          <w:sz w:val="24"/>
          <w:szCs w:val="24"/>
          <w:lang w:val="en-GB"/>
        </w:rPr>
        <w:t>macam mana</w:t>
      </w:r>
      <w:r>
        <w:rPr>
          <w:sz w:val="24"/>
          <w:szCs w:val="24"/>
          <w:lang w:val="en-GB"/>
        </w:rPr>
        <w:t xml:space="preserve"> appears as </w:t>
      </w:r>
      <w:r>
        <w:rPr>
          <w:i/>
          <w:sz w:val="24"/>
          <w:szCs w:val="24"/>
          <w:lang w:val="en-GB"/>
        </w:rPr>
        <w:t>mcmana</w:t>
      </w:r>
      <w:r>
        <w:rPr>
          <w:sz w:val="24"/>
          <w:szCs w:val="24"/>
          <w:lang w:val="en-GB"/>
        </w:rPr>
        <w:t xml:space="preserve">, </w:t>
      </w:r>
      <w:r>
        <w:rPr>
          <w:i/>
          <w:sz w:val="24"/>
          <w:szCs w:val="24"/>
          <w:lang w:val="en-GB"/>
        </w:rPr>
        <w:t>camne</w:t>
      </w:r>
      <w:r>
        <w:rPr>
          <w:sz w:val="24"/>
          <w:szCs w:val="24"/>
          <w:lang w:val="en-GB"/>
        </w:rPr>
        <w:t xml:space="preserve">, </w:t>
      </w:r>
      <w:r>
        <w:rPr>
          <w:i/>
          <w:sz w:val="24"/>
          <w:szCs w:val="24"/>
          <w:lang w:val="en-GB"/>
        </w:rPr>
        <w:t>camner</w:t>
      </w:r>
      <w:r>
        <w:rPr>
          <w:sz w:val="24"/>
          <w:szCs w:val="24"/>
          <w:lang w:val="en-GB"/>
        </w:rPr>
        <w:t xml:space="preserve">, </w:t>
      </w:r>
      <w:r>
        <w:rPr>
          <w:i/>
          <w:sz w:val="24"/>
          <w:szCs w:val="24"/>
          <w:lang w:val="en-GB"/>
        </w:rPr>
        <w:t>mcmner</w:t>
      </w:r>
      <w:r>
        <w:rPr>
          <w:sz w:val="24"/>
          <w:szCs w:val="24"/>
          <w:lang w:val="en-GB"/>
        </w:rPr>
        <w:t xml:space="preserve"> and </w:t>
      </w:r>
      <w:r>
        <w:rPr>
          <w:i/>
          <w:sz w:val="24"/>
          <w:szCs w:val="24"/>
          <w:lang w:val="en-GB"/>
        </w:rPr>
        <w:t>cane</w:t>
      </w:r>
      <w:r>
        <w:rPr>
          <w:sz w:val="24"/>
          <w:szCs w:val="24"/>
          <w:lang w:val="en-GB"/>
        </w:rPr>
        <w:t xml:space="preserve">. In the vowel-less category, a word is reduced to its consonants or to a single character. For example, </w:t>
      </w:r>
      <w:r>
        <w:rPr>
          <w:i/>
          <w:sz w:val="24"/>
          <w:szCs w:val="24"/>
          <w:lang w:val="en-GB"/>
        </w:rPr>
        <w:t>jangan</w:t>
      </w:r>
      <w:r>
        <w:rPr>
          <w:sz w:val="24"/>
          <w:szCs w:val="24"/>
          <w:lang w:val="en-GB"/>
        </w:rPr>
        <w:t xml:space="preserve"> is written </w:t>
      </w:r>
      <w:r>
        <w:rPr>
          <w:i/>
          <w:sz w:val="24"/>
          <w:szCs w:val="24"/>
          <w:lang w:val="en-GB"/>
        </w:rPr>
        <w:t>jgn</w:t>
      </w:r>
      <w:r>
        <w:rPr>
          <w:sz w:val="24"/>
          <w:szCs w:val="24"/>
          <w:lang w:val="en-GB"/>
        </w:rPr>
        <w:t xml:space="preserve"> and </w:t>
      </w:r>
      <w:r>
        <w:rPr>
          <w:i/>
          <w:sz w:val="24"/>
          <w:szCs w:val="24"/>
          <w:lang w:val="en-GB"/>
        </w:rPr>
        <w:t>pada</w:t>
      </w:r>
      <w:r>
        <w:rPr>
          <w:sz w:val="24"/>
          <w:szCs w:val="24"/>
          <w:lang w:val="en-GB"/>
        </w:rPr>
        <w:t xml:space="preserve"> is written </w:t>
      </w:r>
      <w:r>
        <w:rPr>
          <w:i/>
          <w:sz w:val="24"/>
          <w:szCs w:val="24"/>
          <w:lang w:val="en-GB"/>
        </w:rPr>
        <w:t>pd</w:t>
      </w:r>
      <w:r>
        <w:rPr>
          <w:sz w:val="24"/>
          <w:szCs w:val="24"/>
          <w:lang w:val="en-GB"/>
        </w:rPr>
        <w:t xml:space="preserve">. The slang category varies by region. The word </w:t>
      </w:r>
      <w:r>
        <w:rPr>
          <w:i/>
          <w:sz w:val="24"/>
          <w:szCs w:val="24"/>
          <w:lang w:val="en-GB"/>
        </w:rPr>
        <w:t>besar</w:t>
      </w:r>
      <w:r>
        <w:rPr>
          <w:sz w:val="24"/>
          <w:szCs w:val="24"/>
          <w:lang w:val="en-GB"/>
        </w:rPr>
        <w:t xml:space="preserve"> is written </w:t>
      </w:r>
      <w:r>
        <w:rPr>
          <w:i/>
          <w:sz w:val="24"/>
          <w:szCs w:val="24"/>
          <w:lang w:val="en-GB"/>
        </w:rPr>
        <w:t>besaq</w:t>
      </w:r>
      <w:r>
        <w:rPr>
          <w:sz w:val="24"/>
          <w:szCs w:val="24"/>
          <w:lang w:val="en-GB"/>
        </w:rPr>
        <w:t xml:space="preserve"> in the north and </w:t>
      </w:r>
      <w:r>
        <w:rPr>
          <w:i/>
          <w:sz w:val="24"/>
          <w:szCs w:val="24"/>
          <w:lang w:val="en-GB"/>
        </w:rPr>
        <w:t>beso</w:t>
      </w:r>
      <w:r>
        <w:rPr>
          <w:sz w:val="24"/>
          <w:szCs w:val="24"/>
          <w:lang w:val="en-GB"/>
        </w:rPr>
        <w:t xml:space="preserve"> on the east coast. The categories can also combine. The same study gives </w:t>
      </w:r>
      <w:r>
        <w:rPr>
          <w:i/>
          <w:sz w:val="24"/>
          <w:szCs w:val="24"/>
          <w:lang w:val="en-GB"/>
        </w:rPr>
        <w:t>x suko</w:t>
      </w:r>
      <w:r>
        <w:rPr>
          <w:sz w:val="24"/>
          <w:szCs w:val="24"/>
          <w:lang w:val="en-GB"/>
        </w:rPr>
        <w:t xml:space="preserve"> as a form that belongs to the slang and vowel-less categories at once.</w:t>
      </w:r>
    </w:p>
    <w:p w14:paraId="745AF226" w14:textId="616A61CA" w:rsidR="00680263" w:rsidRDefault="00680263" w:rsidP="00680263">
      <w:pPr>
        <w:spacing w:before="120"/>
        <w:ind w:firstLine="244"/>
        <w:jc w:val="both"/>
        <w:rPr>
          <w:sz w:val="24"/>
          <w:szCs w:val="24"/>
          <w:lang w:val="en-GB"/>
        </w:rPr>
      </w:pPr>
      <w:r>
        <w:rPr>
          <w:sz w:val="24"/>
          <w:szCs w:val="24"/>
          <w:lang w:val="en-GB"/>
        </w:rPr>
        <w:t xml:space="preserve">The question that matters for annotation is whether this variation can be reversed automatically. Maskat and Rahman (2020) tested this question directly. They attempted to normalise two of the five categories, </w:t>
      </w:r>
      <w:r w:rsidR="00BD1B9B">
        <w:rPr>
          <w:sz w:val="24"/>
          <w:szCs w:val="24"/>
          <w:lang w:val="en-GB"/>
        </w:rPr>
        <w:t xml:space="preserve">which are </w:t>
      </w:r>
      <w:r>
        <w:rPr>
          <w:sz w:val="24"/>
          <w:szCs w:val="24"/>
          <w:lang w:val="en-GB"/>
        </w:rPr>
        <w:t>spelling variants and vowel-less words. To normalise a form means to map it automatically to its standard spelling. Two measures of string similarity were used, n-gram similarity and Levenshtein distance. Each measure scores how closely two spellings resemble one another. The benchmark was a set of 1,176 pairs of similar words covering 435 distinct words. A native Malay speaker identified these pairs by hand. Precision here is the proportion of the matches proposed by a method that were correct. On that benchmark, the highest precision reported for any configuration was 0.43. Most of the configurations reported were lower than that (Maskat and Rahman, 2020). The authors conclude that similarity matching can detect the two categories but that a more sophisticated technique is needed. They also state that normalisation of the remaining three categories is left for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The first is that only slang from Selangor was handled. The slang category was therefore tested more narrowly than the regional range the same paper describes. The second limit matters more for this review. English words were removed before the experiment, and code-mixed posts were excluded from the evaluation subsets. The reported precision is therefore a measurement on Malay text with the English removed, not on Malay-English mixed text. No equivalent measurement for mixed text was found among the studies reviewed here.</w:t>
      </w:r>
    </w:p>
    <w:p w14:paraId="419B7569" w14:textId="77777777" w:rsidR="00CC05FA" w:rsidRDefault="00CC05FA" w:rsidP="00CC05FA">
      <w:pPr>
        <w:spacing w:before="120"/>
        <w:ind w:firstLine="244"/>
        <w:jc w:val="both"/>
        <w:rPr>
          <w:sz w:val="24"/>
          <w:szCs w:val="24"/>
          <w:lang w:val="en-GB"/>
        </w:rPr>
      </w:pPr>
      <w:r>
        <w:rPr>
          <w:sz w:val="24"/>
          <w:szCs w:val="24"/>
          <w:lang w:val="en-GB"/>
        </w:rPr>
        <w:t xml:space="preserve">The consequence for annotation is that human and automatic annotators differ in what they can recognise. The difference can be seen in the study just described. A single native speaker identified 1,176 word pairs by hand. That identification was reliable enough for the result to serve as the ground truth. Automatic matching on the same ground truth reached a highest precision of 0.43. A human reader recognises </w:t>
      </w:r>
      <w:r>
        <w:rPr>
          <w:i/>
          <w:sz w:val="24"/>
          <w:szCs w:val="24"/>
          <w:lang w:val="en-GB"/>
        </w:rPr>
        <w:t>x</w:t>
      </w:r>
      <w:r>
        <w:rPr>
          <w:sz w:val="24"/>
          <w:szCs w:val="24"/>
          <w:lang w:val="en-GB"/>
        </w:rPr>
        <w:t xml:space="preserve"> as </w:t>
      </w:r>
      <w:r>
        <w:rPr>
          <w:i/>
          <w:sz w:val="24"/>
          <w:szCs w:val="24"/>
          <w:lang w:val="en-GB"/>
        </w:rPr>
        <w:t>tidak</w:t>
      </w:r>
      <w:r>
        <w:rPr>
          <w:sz w:val="24"/>
          <w:szCs w:val="24"/>
          <w:lang w:val="en-GB"/>
        </w:rPr>
        <w:t>. The automatic procedure largely did not. The two types of annotator therefore make errors on different inputs and at different rates.</w:t>
      </w:r>
    </w:p>
    <w:p w14:paraId="03F4109E" w14:textId="77777777" w:rsidR="00CC05FA" w:rsidRPr="00CC05FA" w:rsidRDefault="00CC05FA" w:rsidP="00CC05FA">
      <w:pPr>
        <w:spacing w:before="120"/>
        <w:ind w:firstLine="244"/>
        <w:jc w:val="both"/>
        <w:rPr>
          <w:sz w:val="24"/>
          <w:szCs w:val="24"/>
          <w:lang w:val="en-GB"/>
        </w:rPr>
      </w:pPr>
      <w:r>
        <w:rPr>
          <w:sz w:val="24"/>
          <w:szCs w:val="24"/>
          <w:lang w:val="en-GB"/>
        </w:rPr>
        <w:t>This difference changes what the choice of annotator means. If human and automatic annotation differed only in cost and speed, the choice between them would be a matter of budget. Because the two types make errors on different inputs, the choice also determines which errors a corpus will contain. A corpus labelled entirely by one type of annotator therefore carries that type's systematic errors throughout.</w:t>
      </w:r>
    </w:p>
    <w:p w14:paraId="452E3E36" w14:textId="77777777" w:rsidR="007F0036" w:rsidRDefault="00CC05FA" w:rsidP="007F0036">
      <w:pPr>
        <w:spacing w:before="120"/>
        <w:ind w:firstLine="244"/>
        <w:jc w:val="both"/>
        <w:rPr>
          <w:sz w:val="24"/>
          <w:szCs w:val="24"/>
          <w:lang w:val="en-GB"/>
        </w:rPr>
      </w:pPr>
      <w:r>
        <w:rPr>
          <w:sz w:val="24"/>
          <w:szCs w:val="24"/>
          <w:lang w:val="en-GB"/>
        </w:rPr>
        <w:t xml:space="preserve">The three properties examined in this section therefore create three separate difficulties for annotation. The first property makes the part of the message that carries the opinion difficult to locate. The second property leaves the reading of that </w:t>
      </w:r>
      <w:r>
        <w:rPr>
          <w:sz w:val="24"/>
          <w:szCs w:val="24"/>
          <w:lang w:val="en-GB"/>
        </w:rPr>
        <w:lastRenderedPageBreak/>
        <w:t>part open once it has been located. The third property makes the words themselves difficult for an automatic annotator to recognise. A human annotator recognises the same words readily. Section 3 examines the annotation strategies that have been used in response to these difficulties. It also examines the trade-off that each strategy accepts.</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sz w:val="24"/>
          <w:szCs w:val="24"/>
          <w:lang w:val="en-GB"/>
        </w:rPr>
        <w:t xml:space="preserve">Section 2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 </w:t>
      </w:r>
      <w:r>
        <w:rPr>
          <w:sz w:val="24"/>
          <w:szCs w:val="24"/>
        </w:rPr>
        <w:t>(</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2008; Uma et al., 2021)</w:t>
      </w:r>
      <w:r>
        <w:rPr>
          <w:sz w:val="24"/>
          <w:szCs w:val="24"/>
          <w:lang w:val="en-GB"/>
        </w:rPr>
        <w:t>.</w:t>
      </w:r>
    </w:p>
    <w:p w14:paraId="588A1541" w14:textId="77777777" w:rsidR="007F0036" w:rsidRPr="007F0036" w:rsidRDefault="00C127AD" w:rsidP="007F0036">
      <w:pPr>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w:t>
      </w:r>
      <w:r>
        <w:rPr>
          <w:sz w:val="24"/>
          <w:szCs w:val="24"/>
        </w:rPr>
        <w:t>The strategies reported by the studies reviewed here are best read not as competing solutions to one problem</w:t>
      </w:r>
      <w:r>
        <w:rPr>
          <w:sz w:val="24"/>
          <w:szCs w:val="24"/>
          <w:lang w:val="en-GB"/>
        </w:rPr>
        <w:t xml:space="preserve">, but as different decisions about which of the two to sacrifice. </w:t>
      </w:r>
      <w:r>
        <w:rPr>
          <w:sz w:val="24"/>
          <w:szCs w:val="24"/>
        </w:rPr>
        <w:t xml:space="preserve">On that reading, the strategies fall into three tiers: manual annotation, semi-automated annotation, and fully automated generative annotation. </w:t>
      </w:r>
    </w:p>
    <w:p w14:paraId="6DD9699D" w14:textId="77777777" w:rsidR="007F0036" w:rsidRPr="007F0036" w:rsidRDefault="007F0036" w:rsidP="007F0036">
      <w:pPr>
        <w:spacing w:before="120"/>
        <w:ind w:firstLine="244"/>
        <w:jc w:val="both"/>
        <w:rPr>
          <w:sz w:val="24"/>
          <w:szCs w:val="24"/>
          <w:lang w:val="en-GB"/>
        </w:rPr>
      </w:pPr>
      <w:r>
        <w:rPr>
          <w:sz w:val="24"/>
          <w:szCs w:val="24"/>
          <w:lang w:val="en-GB"/>
        </w:rPr>
        <w:t xml:space="preserve">The first tier is manual annotation by people. Two of the four Malay-English sentiment resources were built this way, and they are the only two whose labels come from human judgement.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kept 40% of the sentences they started with, and Kong et al. labelled 11% of what they collected. The labour that produces reliable labels is the same labour that prevents either corpus from reaching the scale a general-purpose Manglish resource would require.</w:t>
      </w:r>
    </w:p>
    <w:p w14:paraId="48B58C18" w14:textId="77777777" w:rsidR="007F0036" w:rsidRPr="00E10A8D" w:rsidRDefault="007F0036" w:rsidP="00E10A8D">
      <w:pPr>
        <w:spacing w:before="120"/>
        <w:ind w:firstLine="244"/>
        <w:jc w:val="both"/>
        <w:rPr>
          <w:lang w:val="en-GB"/>
        </w:rPr>
      </w:pPr>
      <w:r>
        <w:rPr>
          <w:sz w:val="24"/>
          <w:szCs w:val="24"/>
          <w:lang w:val="en-GB"/>
        </w:rPr>
        <w:t xml:space="preserve">The second tier is semi-automated annotation, which trades in the opposite direction by using existing tools to label at volume and accepting the tools' limitations as the price. Mohd Shamsuddin et al. (2024) built </w:t>
      </w:r>
      <w:proofErr w:type="spellStart"/>
      <w:r>
        <w:rPr>
          <w:sz w:val="24"/>
          <w:szCs w:val="24"/>
          <w:lang w:val="en-GB"/>
        </w:rPr>
        <w:t>MESocSentiment</w:t>
      </w:r>
      <w:proofErr w:type="spellEnd"/>
      <w:r>
        <w:rPr>
          <w:sz w:val="24"/>
          <w:szCs w:val="24"/>
          <w:lang w:val="en-GB"/>
        </w:rPr>
        <w:t xml:space="preserve">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The authors state the motivation plainly. The language identification libraries "reduced the need to find fluent speakers in Malay and English to classify the tweets". The reasoning is defensible, and there is evidence from other labelling tasks that automated annotators can match or exceed human crowd workers (Gilardi et al., 2023). What </w:t>
      </w:r>
      <w:r>
        <w:rPr>
          <w:sz w:val="24"/>
          <w:szCs w:val="24"/>
          <w:lang w:val="en-GB"/>
        </w:rPr>
        <w:lastRenderedPageBreak/>
        <w:t>the tier concedes is that the labels can be no more competent than the tools producing them, and inherit whatever those tools cannot read.</w:t>
      </w:r>
    </w:p>
    <w:p w14:paraId="77CC4976" w14:textId="77777777"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models used directly as annotators. Because a generative model is not restricted to a fixed vocabulary, it can in principle interpret an unfamiliar spelling or an unseen slang term from context, which is the capability the </w:t>
      </w:r>
      <w:proofErr w:type="gramStart"/>
      <w:r>
        <w:rPr>
          <w:sz w:val="24"/>
          <w:szCs w:val="24"/>
          <w:lang w:val="en-GB"/>
        </w:rPr>
        <w:t>second tier</w:t>
      </w:r>
      <w:proofErr w:type="gramEnd"/>
      <w:r>
        <w:rPr>
          <w:sz w:val="24"/>
          <w:szCs w:val="24"/>
          <w:lang w:val="en-GB"/>
        </w:rPr>
        <w:t xml:space="preserve"> lacks. In principle this dissolves the trade-off. The peer-reviewed evidence does not yet support that reading. </w:t>
      </w:r>
      <w:r>
        <w:rPr>
          <w:sz w:val="24"/>
          <w:szCs w:val="24"/>
        </w:rPr>
        <w:t xml:space="preserve">Jadhav et al. (2025) evaluated generative annotators on Marathi, an Indo-Aryan language of western India, across four tasks: sentiment analysis, two-class hate speech detection, four-class hate speech detection, and news classification. </w:t>
      </w:r>
      <w:r>
        <w:rPr>
          <w:sz w:val="24"/>
          <w:szCs w:val="24"/>
          <w:lang w:val="en-GB"/>
        </w:rPr>
        <w:t xml:space="preserve">They found </w:t>
      </w:r>
      <w:r>
        <w:rPr>
          <w:sz w:val="24"/>
          <w:szCs w:val="24"/>
        </w:rPr>
        <w:t xml:space="preserve">two generative large language models, GPT-4o and Llama 3.1 405B, </w:t>
      </w:r>
      <w:r>
        <w:rPr>
          <w:sz w:val="24"/>
          <w:szCs w:val="24"/>
          <w:lang w:val="en-GB"/>
        </w:rPr>
        <w:t xml:space="preserve">trailing </w:t>
      </w:r>
      <w:r>
        <w:rPr>
          <w:sz w:val="24"/>
          <w:szCs w:val="24"/>
        </w:rPr>
        <w:t xml:space="preserve">a fine-tuned BERT baseline </w:t>
      </w:r>
      <w:r>
        <w:rPr>
          <w:sz w:val="24"/>
          <w:szCs w:val="24"/>
          <w:lang w:val="en-GB"/>
        </w:rPr>
        <w:t xml:space="preserve">by average accuracy margins of 10.2% and 14.1% respectively. </w:t>
      </w:r>
      <w:r>
        <w:rPr>
          <w:sz w:val="24"/>
          <w:szCs w:val="24"/>
        </w:rPr>
        <w:t xml:space="preserve">BERT is a bidirectional transformer encoder pre-trained on </w:t>
      </w:r>
      <w:proofErr w:type="spellStart"/>
      <w:r>
        <w:rPr>
          <w:sz w:val="24"/>
          <w:szCs w:val="24"/>
        </w:rPr>
        <w:t>unlabelled</w:t>
      </w:r>
      <w:proofErr w:type="spellEnd"/>
      <w:r>
        <w:rPr>
          <w:sz w:val="24"/>
          <w:szCs w:val="24"/>
        </w:rPr>
        <w:t xml:space="preserve"> text.</w:t>
      </w:r>
      <w:r>
        <w:rPr>
          <w:sz w:val="24"/>
          <w:szCs w:val="24"/>
          <w:lang w:val="en-GB"/>
        </w:rPr>
        <w:t xml:space="preserve"> 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 </w:t>
      </w:r>
      <w:r>
        <w:rPr>
          <w:sz w:val="24"/>
          <w:szCs w:val="24"/>
        </w:rPr>
        <w:t>no study examined here evaluates generative annotation on Malaysian code-mixed text.</w:t>
      </w:r>
    </w:p>
    <w:p w14:paraId="732B1E6A" w14:textId="77777777" w:rsidR="007F0036" w:rsidRPr="00ED77BD" w:rsidRDefault="007F0036" w:rsidP="00ED77BD">
      <w:pPr>
        <w:spacing w:before="120"/>
        <w:ind w:firstLine="244"/>
        <w:jc w:val="center"/>
        <w:rPr>
          <w:b/>
          <w:bCs/>
          <w:sz w:val="24"/>
          <w:szCs w:val="24"/>
          <w:lang w:val="en-GB"/>
        </w:rPr>
      </w:pPr>
      <w:r>
        <w:rPr>
          <w:b/>
          <w:bCs/>
          <w:sz w:val="24"/>
          <w:szCs w:val="24"/>
          <w:lang w:val="en-GB"/>
        </w:rPr>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trPr>
        <w:tc>
          <w:tcPr>
            <w:tcW w:w="1656" w:type="dxa"/>
            <w:shd w:val="clear" w:color="auto" w:fill="4BACC6"/>
            <w:vAlign w:val="center"/>
          </w:tcPr>
          <w:p w14:paraId="583AADBC" w14:textId="77777777" w:rsidR="007F0036" w:rsidRDefault="007F0036" w:rsidP="007F0036">
            <w:pPr>
              <w:tabs>
                <w:tab w:val="left" w:pos="24"/>
              </w:tabs>
              <w:jc w:val="both"/>
              <w:rPr>
                <w:b/>
                <w:color w:val="FFFFFF"/>
                <w:sz w:val="24"/>
                <w:szCs w:val="24"/>
              </w:rPr>
            </w:pPr>
            <w:r>
              <w:rPr>
                <w:b/>
                <w:bCs/>
                <w:sz w:val="24"/>
                <w:szCs w:val="24"/>
                <w:lang w:val="en-GB"/>
              </w:rPr>
              <w:t>Tier</w:t>
            </w:r>
          </w:p>
        </w:tc>
        <w:tc>
          <w:tcPr>
            <w:tcW w:w="1417" w:type="dxa"/>
            <w:shd w:val="clear" w:color="auto" w:fill="4BACC6"/>
            <w:vAlign w:val="center"/>
          </w:tcPr>
          <w:p w14:paraId="5E27EE6B" w14:textId="77777777" w:rsidR="007F0036" w:rsidRDefault="007F0036" w:rsidP="007F0036">
            <w:pPr>
              <w:tabs>
                <w:tab w:val="left" w:pos="24"/>
              </w:tabs>
              <w:jc w:val="both"/>
              <w:rPr>
                <w:b/>
                <w:color w:val="FFFFFF"/>
                <w:sz w:val="24"/>
                <w:szCs w:val="24"/>
              </w:rPr>
            </w:pPr>
            <w:r>
              <w:rPr>
                <w:b/>
                <w:bCs/>
                <w:sz w:val="24"/>
                <w:szCs w:val="24"/>
                <w:lang w:val="en-GB"/>
              </w:rPr>
              <w:t>Regional example</w:t>
            </w:r>
          </w:p>
        </w:tc>
        <w:tc>
          <w:tcPr>
            <w:tcW w:w="1600" w:type="dxa"/>
            <w:shd w:val="clear" w:color="auto" w:fill="4BACC6"/>
            <w:vAlign w:val="center"/>
          </w:tcPr>
          <w:p w14:paraId="3CF27901" w14:textId="77777777" w:rsidR="007F0036" w:rsidRDefault="007F0036" w:rsidP="007F0036">
            <w:pPr>
              <w:tabs>
                <w:tab w:val="left" w:pos="24"/>
              </w:tabs>
              <w:jc w:val="both"/>
              <w:rPr>
                <w:b/>
                <w:color w:val="FFFFFF"/>
                <w:sz w:val="24"/>
                <w:szCs w:val="24"/>
              </w:rPr>
            </w:pPr>
            <w:r>
              <w:rPr>
                <w:b/>
                <w:bCs/>
                <w:sz w:val="24"/>
                <w:szCs w:val="24"/>
                <w:lang w:val="en-GB"/>
              </w:rPr>
              <w:t>Scale achieved</w:t>
            </w:r>
          </w:p>
        </w:tc>
        <w:tc>
          <w:tcPr>
            <w:tcW w:w="1843" w:type="dxa"/>
            <w:shd w:val="clear" w:color="auto" w:fill="4BACC6"/>
            <w:vAlign w:val="center"/>
          </w:tcPr>
          <w:p w14:paraId="3D18F80D" w14:textId="77777777" w:rsidR="007F0036" w:rsidRDefault="007F0036" w:rsidP="007F0036">
            <w:pPr>
              <w:tabs>
                <w:tab w:val="left" w:pos="24"/>
              </w:tabs>
              <w:jc w:val="both"/>
              <w:rPr>
                <w:b/>
                <w:color w:val="FFFFFF"/>
                <w:sz w:val="24"/>
                <w:szCs w:val="24"/>
              </w:rPr>
            </w:pPr>
            <w:r>
              <w:rPr>
                <w:b/>
                <w:bCs/>
                <w:sz w:val="24"/>
                <w:szCs w:val="24"/>
                <w:lang w:val="en-GB"/>
              </w:rPr>
              <w:t>Evidence of fidelity</w:t>
            </w:r>
          </w:p>
        </w:tc>
        <w:tc>
          <w:tcPr>
            <w:tcW w:w="2551" w:type="dxa"/>
            <w:shd w:val="clear" w:color="auto" w:fill="4BACC6"/>
            <w:vAlign w:val="center"/>
          </w:tcPr>
          <w:p w14:paraId="01F0D8A7" w14:textId="77777777" w:rsidR="007F0036" w:rsidRDefault="007F0036" w:rsidP="007F0036">
            <w:pPr>
              <w:tabs>
                <w:tab w:val="left" w:pos="24"/>
              </w:tabs>
              <w:jc w:val="both"/>
              <w:rPr>
                <w:b/>
                <w:color w:val="FFFFFF"/>
                <w:sz w:val="24"/>
                <w:szCs w:val="24"/>
              </w:rPr>
            </w:pPr>
            <w:r>
              <w:rPr>
                <w:b/>
                <w:bCs/>
                <w:sz w:val="24"/>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both"/>
              <w:rPr>
                <w:b/>
                <w:color w:val="FFFFFF"/>
                <w:sz w:val="24"/>
                <w:szCs w:val="24"/>
              </w:rPr>
            </w:pPr>
            <w:r>
              <w:rPr>
                <w:sz w:val="24"/>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both"/>
              <w:rPr>
                <w:sz w:val="24"/>
                <w:szCs w:val="24"/>
              </w:rPr>
            </w:pP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w:t>
            </w:r>
          </w:p>
        </w:tc>
        <w:tc>
          <w:tcPr>
            <w:tcW w:w="1600" w:type="dxa"/>
            <w:shd w:val="clear" w:color="auto" w:fill="D8D8D8"/>
            <w:vAlign w:val="center"/>
          </w:tcPr>
          <w:p w14:paraId="61818CE3" w14:textId="77777777" w:rsidR="007F0036" w:rsidRDefault="007F0036" w:rsidP="007F0036">
            <w:pPr>
              <w:tabs>
                <w:tab w:val="left" w:pos="24"/>
              </w:tabs>
              <w:jc w:val="both"/>
              <w:rPr>
                <w:sz w:val="24"/>
                <w:szCs w:val="24"/>
              </w:rPr>
            </w:pPr>
            <w:r>
              <w:rPr>
                <w:sz w:val="24"/>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both"/>
              <w:rPr>
                <w:sz w:val="24"/>
                <w:szCs w:val="24"/>
              </w:rPr>
            </w:pPr>
            <w:r>
              <w:rPr>
                <w:sz w:val="24"/>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both"/>
              <w:rPr>
                <w:sz w:val="24"/>
                <w:szCs w:val="24"/>
              </w:rPr>
            </w:pPr>
            <w:r>
              <w:rPr>
                <w:sz w:val="24"/>
                <w:szCs w:val="24"/>
                <w:lang w:val="en-GB"/>
              </w:rPr>
              <w:t>Scale</w:t>
            </w:r>
          </w:p>
        </w:tc>
      </w:tr>
      <w:tr w:rsidR="00ED77BD" w14:paraId="526E33B1" w14:textId="77777777" w:rsidTr="008C0BA5">
        <w:trPr>
          <w:jc w:val="center"/>
        </w:trPr>
        <w:tc>
          <w:tcPr>
            <w:tcW w:w="1656" w:type="dxa"/>
            <w:shd w:val="clear" w:color="auto" w:fill="4BACC6"/>
            <w:vAlign w:val="center"/>
          </w:tcPr>
          <w:p w14:paraId="7E638568" w14:textId="77777777" w:rsidR="00ED77BD" w:rsidRDefault="00ED77BD" w:rsidP="00ED77BD">
            <w:pPr>
              <w:tabs>
                <w:tab w:val="left" w:pos="24"/>
              </w:tabs>
              <w:jc w:val="both"/>
              <w:rPr>
                <w:b/>
                <w:color w:val="FFFFFF"/>
                <w:sz w:val="24"/>
                <w:szCs w:val="24"/>
              </w:rPr>
            </w:pPr>
            <w:r>
              <w:rPr>
                <w:sz w:val="24"/>
                <w:szCs w:val="24"/>
                <w:lang w:val="en-GB"/>
              </w:rPr>
              <w:t>Manual</w:t>
            </w:r>
          </w:p>
        </w:tc>
        <w:tc>
          <w:tcPr>
            <w:tcW w:w="1417" w:type="dxa"/>
            <w:vAlign w:val="center"/>
          </w:tcPr>
          <w:p w14:paraId="4B01DED1" w14:textId="77777777" w:rsidR="00ED77BD" w:rsidRDefault="00ED77BD" w:rsidP="00ED77BD">
            <w:pPr>
              <w:tabs>
                <w:tab w:val="left" w:pos="24"/>
              </w:tabs>
              <w:jc w:val="both"/>
              <w:rPr>
                <w:sz w:val="24"/>
                <w:szCs w:val="24"/>
              </w:rPr>
            </w:pPr>
            <w:r>
              <w:rPr>
                <w:sz w:val="24"/>
                <w:szCs w:val="24"/>
                <w:lang w:val="en-GB"/>
              </w:rPr>
              <w:t>Kong et al. (2023)</w:t>
            </w:r>
          </w:p>
        </w:tc>
        <w:tc>
          <w:tcPr>
            <w:tcW w:w="1600" w:type="dxa"/>
            <w:vAlign w:val="center"/>
          </w:tcPr>
          <w:p w14:paraId="21CDD178" w14:textId="77777777" w:rsidR="00ED77BD" w:rsidRDefault="00ED77BD" w:rsidP="00ED77BD">
            <w:pPr>
              <w:tabs>
                <w:tab w:val="left" w:pos="24"/>
              </w:tabs>
              <w:jc w:val="both"/>
              <w:rPr>
                <w:sz w:val="24"/>
                <w:szCs w:val="24"/>
              </w:rPr>
            </w:pPr>
            <w:r>
              <w:rPr>
                <w:sz w:val="24"/>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both"/>
              <w:rPr>
                <w:sz w:val="24"/>
                <w:szCs w:val="24"/>
              </w:rPr>
            </w:pPr>
            <w:r>
              <w:rPr>
                <w:sz w:val="24"/>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both"/>
              <w:rPr>
                <w:sz w:val="24"/>
                <w:szCs w:val="24"/>
              </w:rPr>
            </w:pPr>
            <w:r>
              <w:rPr>
                <w:sz w:val="24"/>
                <w:szCs w:val="24"/>
                <w:lang w:val="en-GB"/>
              </w:rPr>
              <w:t>Scale</w:t>
            </w:r>
          </w:p>
        </w:tc>
      </w:tr>
      <w:tr w:rsidR="00ED77BD" w14:paraId="00E85C6F" w14:textId="77777777" w:rsidTr="008C0BA5">
        <w:trPr>
          <w:jc w:val="center"/>
        </w:trPr>
        <w:tc>
          <w:tcPr>
            <w:tcW w:w="1656" w:type="dxa"/>
            <w:shd w:val="clear" w:color="auto" w:fill="4BACC6"/>
            <w:vAlign w:val="center"/>
          </w:tcPr>
          <w:p w14:paraId="68C1EE2E" w14:textId="77777777" w:rsidR="00ED77BD" w:rsidRDefault="00ED77BD" w:rsidP="00ED77BD">
            <w:pPr>
              <w:tabs>
                <w:tab w:val="left" w:pos="24"/>
              </w:tabs>
              <w:jc w:val="both"/>
              <w:rPr>
                <w:b/>
                <w:color w:val="FFFFFF"/>
                <w:sz w:val="24"/>
                <w:szCs w:val="24"/>
              </w:rPr>
            </w:pPr>
            <w:r>
              <w:rPr>
                <w:sz w:val="24"/>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both"/>
              <w:rPr>
                <w:sz w:val="24"/>
                <w:szCs w:val="24"/>
              </w:rPr>
            </w:pPr>
            <w:r>
              <w:rPr>
                <w:sz w:val="24"/>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both"/>
              <w:rPr>
                <w:sz w:val="24"/>
                <w:szCs w:val="24"/>
              </w:rPr>
            </w:pPr>
            <w:r>
              <w:rPr>
                <w:sz w:val="24"/>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both"/>
              <w:rPr>
                <w:sz w:val="24"/>
                <w:szCs w:val="24"/>
              </w:rPr>
            </w:pPr>
            <w:r>
              <w:rPr>
                <w:sz w:val="24"/>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both"/>
              <w:rPr>
                <w:sz w:val="24"/>
                <w:szCs w:val="24"/>
              </w:rPr>
            </w:pPr>
            <w:r>
              <w:rPr>
                <w:sz w:val="24"/>
                <w:szCs w:val="24"/>
                <w:lang w:val="en-GB"/>
              </w:rPr>
              <w:t>Demonstrable fidelity</w:t>
            </w:r>
          </w:p>
        </w:tc>
      </w:tr>
      <w:tr w:rsidR="00ED77BD" w14:paraId="6E456B61" w14:textId="77777777" w:rsidTr="008C0BA5">
        <w:trPr>
          <w:jc w:val="center"/>
        </w:trPr>
        <w:tc>
          <w:tcPr>
            <w:tcW w:w="1656" w:type="dxa"/>
            <w:shd w:val="clear" w:color="auto" w:fill="4BACC6"/>
            <w:vAlign w:val="center"/>
          </w:tcPr>
          <w:p w14:paraId="6D2EB98E" w14:textId="77777777" w:rsidR="00ED77BD" w:rsidRPr="007F0036" w:rsidRDefault="00ED77BD" w:rsidP="00ED77BD">
            <w:pPr>
              <w:tabs>
                <w:tab w:val="left" w:pos="24"/>
              </w:tabs>
              <w:jc w:val="both"/>
              <w:rPr>
                <w:sz w:val="24"/>
                <w:szCs w:val="24"/>
                <w:lang w:val="en-GB"/>
              </w:rPr>
            </w:pPr>
            <w:r>
              <w:rPr>
                <w:sz w:val="24"/>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both"/>
              <w:rPr>
                <w:sz w:val="24"/>
                <w:szCs w:val="24"/>
                <w:lang w:val="en-GB"/>
              </w:rPr>
            </w:pPr>
            <w:r>
              <w:rPr>
                <w:sz w:val="24"/>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both"/>
              <w:rPr>
                <w:sz w:val="24"/>
                <w:szCs w:val="24"/>
                <w:lang w:val="en-GB"/>
              </w:rPr>
            </w:pPr>
            <w:r>
              <w:rPr>
                <w:sz w:val="24"/>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both"/>
              <w:rPr>
                <w:sz w:val="24"/>
                <w:szCs w:val="24"/>
                <w:lang w:val="en-GB"/>
              </w:rPr>
            </w:pPr>
            <w:r>
              <w:rPr>
                <w:sz w:val="24"/>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both"/>
              <w:rPr>
                <w:sz w:val="24"/>
                <w:szCs w:val="24"/>
                <w:lang w:val="en-GB"/>
              </w:rPr>
            </w:pPr>
            <w:r>
              <w:rPr>
                <w:sz w:val="24"/>
                <w:szCs w:val="24"/>
                <w:lang w:val="en-GB"/>
              </w:rPr>
              <w:t>Reliability precisely where linguistic resources are scarce (Jadhav et al., 2025)</w:t>
            </w:r>
          </w:p>
        </w:tc>
      </w:tr>
    </w:tbl>
    <w:p w14:paraId="783562F8" w14:textId="77777777" w:rsidR="00ED77BD" w:rsidRPr="007F0036" w:rsidRDefault="00C127AD" w:rsidP="00ED77BD">
      <w:pPr>
        <w:spacing w:before="120"/>
        <w:jc w:val="both"/>
        <w:rPr>
          <w:b/>
          <w:bCs/>
          <w:sz w:val="24"/>
          <w:szCs w:val="24"/>
          <w:lang w:val="en-GB"/>
        </w:rPr>
      </w:pPr>
      <w:r>
        <w:rPr>
          <w:b/>
          <w:bCs/>
          <w:sz w:val="24"/>
          <w:szCs w:val="24"/>
          <w:lang w:val="en-GB"/>
        </w:rPr>
        <w:t>3.2 Two sources of neutral-label skew</w:t>
      </w:r>
    </w:p>
    <w:p w14:paraId="3322B250" w14:textId="77777777" w:rsidR="00ED77BD" w:rsidRPr="0005406F" w:rsidRDefault="00ED77BD" w:rsidP="0005406F">
      <w:pPr>
        <w:spacing w:before="120"/>
        <w:ind w:firstLine="244"/>
        <w:jc w:val="both"/>
        <w:rPr>
          <w:lang w:val="en-GB"/>
        </w:rPr>
      </w:pPr>
      <w:r>
        <w:rPr>
          <w:sz w:val="24"/>
          <w:szCs w:val="24"/>
          <w:lang w:val="en-GB"/>
        </w:rPr>
        <w:lastRenderedPageBreak/>
        <w:t xml:space="preserve">The clearest regional evidence of what the </w:t>
      </w:r>
      <w:proofErr w:type="gramStart"/>
      <w:r>
        <w:rPr>
          <w:sz w:val="24"/>
          <w:szCs w:val="24"/>
          <w:lang w:val="en-GB"/>
        </w:rPr>
        <w:t>second tier</w:t>
      </w:r>
      <w:proofErr w:type="gramEnd"/>
      <w:r>
        <w:rPr>
          <w:sz w:val="24"/>
          <w:szCs w:val="24"/>
          <w:lang w:val="en-GB"/>
        </w:rPr>
        <w:t xml:space="preserve"> costs is the class distribution of the corpus it produced. </w:t>
      </w:r>
      <w:proofErr w:type="spellStart"/>
      <w:r>
        <w:rPr>
          <w:sz w:val="24"/>
          <w:szCs w:val="24"/>
          <w:lang w:val="en-GB"/>
        </w:rPr>
        <w:t>MESocSentiment</w:t>
      </w:r>
      <w:proofErr w:type="spellEnd"/>
      <w:r>
        <w:rPr>
          <w:sz w:val="24"/>
          <w:szCs w:val="24"/>
          <w:lang w:val="en-GB"/>
        </w:rPr>
        <w:t xml:space="preserve"> is labelled 78.23% neutral, 16.33% positive and 5.44% negative across 19,714 posts (Mohd Shamsuddin et al., 2024). 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This section separates the two distinct </w:t>
      </w:r>
      <w:r>
        <w:rPr>
          <w:sz w:val="24"/>
          <w:szCs w:val="24"/>
        </w:rPr>
        <w:t>causes at work in that skew</w:t>
      </w:r>
      <w:r>
        <w:rPr>
          <w:sz w:val="24"/>
          <w:szCs w:val="24"/>
          <w:lang w:val="en-GB"/>
        </w:rPr>
        <w:t>, because they produce identical labels and require opposite responses.</w:t>
      </w:r>
    </w:p>
    <w:p w14:paraId="551F8865" w14:textId="77777777" w:rsidR="00ED77BD" w:rsidRDefault="00ED77BD" w:rsidP="00ED77BD">
      <w:pPr>
        <w:spacing w:before="120"/>
        <w:ind w:firstLine="244"/>
        <w:jc w:val="both"/>
        <w:rPr>
          <w:sz w:val="24"/>
          <w:szCs w:val="24"/>
          <w:lang w:val="en-GB"/>
        </w:rPr>
      </w:pPr>
      <w:r>
        <w:rPr>
          <w:sz w:val="24"/>
          <w:szCs w:val="24"/>
          <w:lang w:val="en-GB"/>
        </w:rPr>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w:t>
      </w:r>
      <w:proofErr w:type="spellStart"/>
      <w:r>
        <w:rPr>
          <w:sz w:val="24"/>
          <w:szCs w:val="24"/>
          <w:lang w:val="en-GB"/>
        </w:rPr>
        <w:t>MESocSentiment</w:t>
      </w:r>
      <w:proofErr w:type="spellEnd"/>
      <w:r>
        <w:rPr>
          <w:sz w:val="24"/>
          <w:szCs w:val="24"/>
          <w:lang w:val="en-GB"/>
        </w:rPr>
        <w:t>,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remains within the neutral band, and it is returned as neutral. On that reading, neutral is not always a judgement that a 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sz w:val="24"/>
          <w:szCs w:val="24"/>
        </w:rPr>
        <w:t xml:space="preserve">The corpus authors' own error analysis indicates that the mechanism operates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proofErr w:type="spellStart"/>
      <w:r>
        <w:rPr>
          <w:i/>
          <w:iCs/>
          <w:sz w:val="24"/>
          <w:szCs w:val="24"/>
        </w:rPr>
        <w:t>memang</w:t>
      </w:r>
      <w:proofErr w:type="spellEnd"/>
      <w:r>
        <w:rPr>
          <w:i/>
          <w:iCs/>
          <w:sz w:val="24"/>
          <w:szCs w:val="24"/>
        </w:rPr>
        <w:t xml:space="preserve"> </w:t>
      </w:r>
      <w:proofErr w:type="spellStart"/>
      <w:r>
        <w:rPr>
          <w:i/>
          <w:iCs/>
          <w:sz w:val="24"/>
          <w:szCs w:val="24"/>
        </w:rPr>
        <w:t>cantik</w:t>
      </w:r>
      <w:proofErr w:type="spellEnd"/>
      <w:r>
        <w:rPr>
          <w:i/>
          <w:iCs/>
          <w:sz w:val="24"/>
          <w:szCs w:val="24"/>
        </w:rPr>
        <w:t xml:space="preserve"> sangat</w:t>
      </w:r>
      <w:r>
        <w:rPr>
          <w:sz w:val="24"/>
          <w:szCs w:val="24"/>
        </w:rPr>
        <w:t xml:space="preserve">, </w:t>
      </w:r>
      <w:proofErr w:type="spellStart"/>
      <w:r>
        <w:rPr>
          <w:i/>
          <w:iCs/>
          <w:sz w:val="24"/>
          <w:szCs w:val="24"/>
        </w:rPr>
        <w:t>selamat</w:t>
      </w:r>
      <w:proofErr w:type="spellEnd"/>
      <w:r>
        <w:rPr>
          <w:i/>
          <w:iCs/>
          <w:sz w:val="24"/>
          <w:szCs w:val="24"/>
        </w:rPr>
        <w:t xml:space="preserve"> </w:t>
      </w:r>
      <w:proofErr w:type="spellStart"/>
      <w:r>
        <w:rPr>
          <w:i/>
          <w:iCs/>
          <w:sz w:val="24"/>
          <w:szCs w:val="24"/>
        </w:rPr>
        <w:t>deepavali</w:t>
      </w:r>
      <w:proofErr w:type="spellEnd"/>
      <w:r>
        <w:rPr>
          <w:sz w:val="24"/>
          <w:szCs w:val="24"/>
        </w:rPr>
        <w:t xml:space="preserve"> and </w:t>
      </w:r>
      <w:proofErr w:type="spellStart"/>
      <w:r>
        <w:rPr>
          <w:i/>
          <w:iCs/>
          <w:sz w:val="24"/>
          <w:szCs w:val="24"/>
        </w:rPr>
        <w:t>raih</w:t>
      </w:r>
      <w:proofErr w:type="spellEnd"/>
      <w:r>
        <w:rPr>
          <w:i/>
          <w:iCs/>
          <w:sz w:val="24"/>
          <w:szCs w:val="24"/>
        </w:rPr>
        <w:t xml:space="preserve"> </w:t>
      </w:r>
      <w:proofErr w:type="spellStart"/>
      <w:r>
        <w:rPr>
          <w:i/>
          <w:iCs/>
          <w:sz w:val="24"/>
          <w:szCs w:val="24"/>
        </w:rPr>
        <w:t>gelar</w:t>
      </w:r>
      <w:proofErr w:type="spellEnd"/>
      <w:r>
        <w:rPr>
          <w:i/>
          <w:iCs/>
          <w:sz w:val="24"/>
          <w:szCs w:val="24"/>
        </w:rPr>
        <w:t xml:space="preserve"> </w:t>
      </w:r>
      <w:proofErr w:type="spellStart"/>
      <w:r>
        <w:rPr>
          <w:i/>
          <w:iCs/>
          <w:sz w:val="24"/>
          <w:szCs w:val="24"/>
        </w:rPr>
        <w:t>juara</w:t>
      </w:r>
      <w:proofErr w:type="spellEnd"/>
      <w:r>
        <w:rPr>
          <w:sz w:val="24"/>
          <w:szCs w:val="24"/>
        </w:rPr>
        <w:t xml:space="preserve">. In the correctly classified negative example, the sentiment is carried by an English word, </w:t>
      </w:r>
      <w:r>
        <w:rPr>
          <w:i/>
          <w:iCs/>
          <w:sz w:val="24"/>
          <w:szCs w:val="24"/>
        </w:rPr>
        <w:t>worthless</w:t>
      </w:r>
      <w:r>
        <w:rPr>
          <w:sz w:val="24"/>
          <w:szCs w:val="24"/>
        </w:rPr>
        <w:t xml:space="preserve">. Six author-selected examples are illustrative rather than statistical, and no error rate can be computed from them. Their uniformity is nonetheless difficult to dismiss: where the ensemble succeeded, the </w:t>
      </w:r>
      <w:proofErr w:type="gramStart"/>
      <w:r>
        <w:rPr>
          <w:sz w:val="24"/>
          <w:szCs w:val="24"/>
        </w:rPr>
        <w:t>affect</w:t>
      </w:r>
      <w:proofErr w:type="gramEnd"/>
      <w:r>
        <w:rPr>
          <w:sz w:val="24"/>
          <w:szCs w:val="24"/>
        </w:rPr>
        <w:t xml:space="preserve"> was in a language its tools covered, and in every case where it failed, the </w:t>
      </w:r>
      <w:proofErr w:type="gramStart"/>
      <w:r>
        <w:rPr>
          <w:sz w:val="24"/>
          <w:szCs w:val="24"/>
        </w:rPr>
        <w:t>affect</w:t>
      </w:r>
      <w:proofErr w:type="gramEnd"/>
      <w:r>
        <w:rPr>
          <w:sz w:val="24"/>
          <w:szCs w:val="24"/>
        </w:rPr>
        <w:t xml:space="preserve"> was not.</w:t>
      </w:r>
    </w:p>
    <w:p w14:paraId="3095AA50" w14:textId="77777777" w:rsidR="00D714BA" w:rsidRPr="00D714BA" w:rsidRDefault="00D714BA" w:rsidP="00D714BA">
      <w:pPr>
        <w:spacing w:before="120"/>
        <w:ind w:firstLine="244"/>
        <w:jc w:val="both"/>
        <w:rPr>
          <w:sz w:val="24"/>
          <w:szCs w:val="24"/>
          <w:lang w:val="en-GB"/>
        </w:rPr>
      </w:pPr>
      <w:r>
        <w:rPr>
          <w:sz w:val="24"/>
          <w:szCs w:val="24"/>
          <w:lang w:val="en-GB"/>
        </w:rPr>
        <w:t xml:space="preserve">The second source has nothing to do with tooling. Some posts are genuinely hard to judge, and the annotators of these resources say so.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2.2 established, disagreement of this kind is not removed by collecting more judgements (Pavlick and Kwiatkowski, 2019).</w:t>
      </w:r>
    </w:p>
    <w:p w14:paraId="78B38C63" w14:textId="77777777" w:rsidR="00D714BA" w:rsidRPr="00D714BA" w:rsidRDefault="00D714BA" w:rsidP="00D714BA">
      <w:pPr>
        <w:spacing w:before="120"/>
        <w:ind w:firstLine="244"/>
        <w:jc w:val="both"/>
        <w:rPr>
          <w:sz w:val="24"/>
          <w:szCs w:val="24"/>
          <w:lang w:val="en-GB"/>
        </w:rPr>
      </w:pPr>
      <w:r>
        <w:rPr>
          <w:sz w:val="24"/>
          <w:szCs w:val="24"/>
          <w:lang w:val="en-GB"/>
        </w:rPr>
        <w:t xml:space="preserve">Separating the two sources matters because the labels they produce are indistinguishable and the responses they require are opposite. A genuinely neutral post is correctly labelled and belongs in the corpus. A falsely neutral post is an error </w:t>
      </w:r>
      <w:r>
        <w:rPr>
          <w:sz w:val="24"/>
          <w:szCs w:val="24"/>
          <w:lang w:val="en-GB"/>
        </w:rPr>
        <w:lastRenderedPageBreak/>
        <w:t xml:space="preserve">that a better-resourced annotator would not have made. A single-model pipeline is structurally unable to tell them apart, because the evidence that would distinguish them, namely the </w:t>
      </w:r>
      <w:proofErr w:type="gramStart"/>
      <w:r>
        <w:rPr>
          <w:sz w:val="24"/>
          <w:szCs w:val="24"/>
          <w:lang w:val="en-GB"/>
        </w:rPr>
        <w:t>affect</w:t>
      </w:r>
      <w:proofErr w:type="gramEnd"/>
      <w:r>
        <w:rPr>
          <w:sz w:val="24"/>
          <w:szCs w:val="24"/>
          <w:lang w:val="en-GB"/>
        </w:rPr>
        <w:t xml:space="preserve"> the annotator could not read, is exactly the evidence that annotator does not have.</w:t>
      </w:r>
    </w:p>
    <w:p w14:paraId="1B1D9D31" w14:textId="77777777" w:rsidR="00D714BA" w:rsidRPr="00D714BA" w:rsidRDefault="00D714BA" w:rsidP="00D714BA">
      <w:pPr>
        <w:spacing w:before="120"/>
        <w:ind w:firstLine="244"/>
        <w:jc w:val="both"/>
        <w:rPr>
          <w:sz w:val="24"/>
          <w:szCs w:val="24"/>
          <w:lang w:val="en-GB"/>
        </w:rPr>
      </w:pPr>
      <w:r>
        <w:rPr>
          <w:sz w:val="24"/>
          <w:szCs w:val="24"/>
          <w:lang w:val="en-GB"/>
        </w:rPr>
        <w:t xml:space="preserve">The consequence is more damaging than the </w:t>
      </w:r>
      <w:r>
        <w:rPr>
          <w:sz w:val="24"/>
          <w:szCs w:val="24"/>
        </w:rPr>
        <w:t xml:space="preserve">aggregate </w:t>
      </w:r>
      <w:r>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5A241194" w14:textId="77777777" w:rsidR="00D714BA" w:rsidRPr="007F0036" w:rsidRDefault="00C127AD" w:rsidP="00D714BA">
      <w:pPr>
        <w:spacing w:before="120"/>
        <w:jc w:val="both"/>
        <w:rPr>
          <w:b/>
          <w:bCs/>
          <w:sz w:val="24"/>
          <w:szCs w:val="24"/>
          <w:lang w:val="en-GB"/>
        </w:rPr>
      </w:pPr>
      <w:r>
        <w:rPr>
          <w:b/>
          <w:bCs/>
          <w:sz w:val="24"/>
          <w:szCs w:val="24"/>
          <w:lang w:val="en-GB"/>
        </w:rPr>
        <w:t xml:space="preserve">3.3 </w:t>
      </w:r>
      <w:r>
        <w:rPr>
          <w:b/>
          <w:bCs/>
          <w:sz w:val="24"/>
          <w:szCs w:val="24"/>
        </w:rPr>
        <w:t>What consensus does with disagreement</w:t>
      </w:r>
    </w:p>
    <w:p w14:paraId="34C33E1F" w14:textId="77777777" w:rsidR="00D714BA" w:rsidRPr="00D714BA" w:rsidRDefault="009F7D9C" w:rsidP="00D714BA">
      <w:pPr>
        <w:spacing w:before="120"/>
        <w:ind w:firstLine="244"/>
        <w:jc w:val="both"/>
        <w:rPr>
          <w:sz w:val="24"/>
          <w:szCs w:val="24"/>
          <w:lang w:val="en-GB"/>
        </w:rPr>
      </w:pPr>
      <w:r>
        <w:rPr>
          <w:sz w:val="24"/>
          <w:szCs w:val="24"/>
        </w:rPr>
        <w:t>Pooling several annotators is the response most often proposed when a single annotator is unreliable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Uma et al., 2021). </w:t>
      </w:r>
      <w:proofErr w:type="spellStart"/>
      <w:r>
        <w:rPr>
          <w:sz w:val="24"/>
          <w:szCs w:val="24"/>
        </w:rPr>
        <w:t>MESocSentiment</w:t>
      </w:r>
      <w:proofErr w:type="spellEnd"/>
      <w:r>
        <w:rPr>
          <w:sz w:val="24"/>
          <w:szCs w:val="24"/>
        </w:rPr>
        <w:t xml:space="preserve"> is evidence against that response, because it already was a consensus pipeline</w:t>
      </w:r>
      <w:r>
        <w:rPr>
          <w:sz w:val="24"/>
          <w:szCs w:val="24"/>
          <w:lang w:val="en-GB"/>
        </w:rPr>
        <w:t>. Three sentiment analysers labelled every post and the majority label was assigned. The corpus skewed anyway.</w:t>
      </w:r>
    </w:p>
    <w:p w14:paraId="4132FF8E" w14:textId="77777777" w:rsidR="00D714BA" w:rsidRPr="00D714BA" w:rsidRDefault="00D714BA" w:rsidP="00D714BA">
      <w:pPr>
        <w:spacing w:before="120"/>
        <w:ind w:firstLine="244"/>
        <w:jc w:val="both"/>
        <w:rPr>
          <w:sz w:val="24"/>
          <w:szCs w:val="24"/>
          <w:lang w:val="en-GB"/>
        </w:rPr>
      </w:pPr>
      <w:r>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5C82D1B0" w14:textId="77777777" w:rsidR="00D714BA" w:rsidRPr="00D714BA" w:rsidRDefault="00D714BA" w:rsidP="00D714BA">
      <w:pPr>
        <w:spacing w:before="120"/>
        <w:ind w:firstLine="244"/>
        <w:jc w:val="center"/>
        <w:rPr>
          <w:b/>
          <w:bCs/>
          <w:sz w:val="24"/>
          <w:szCs w:val="24"/>
          <w:lang w:val="en-GB"/>
        </w:rPr>
      </w:pPr>
      <w:r>
        <w:rPr>
          <w:b/>
          <w:bCs/>
          <w:sz w:val="24"/>
          <w:szCs w:val="24"/>
          <w:lang w:val="en-GB"/>
        </w:rPr>
        <w:t xml:space="preserve">Table 2. </w:t>
      </w:r>
      <w:r>
        <w:rPr>
          <w:b/>
          <w:bCs/>
          <w:sz w:val="24"/>
          <w:szCs w:val="24"/>
        </w:rPr>
        <w:t xml:space="preserve">The Three Annotators Used to Build </w:t>
      </w:r>
      <w:proofErr w:type="spellStart"/>
      <w:r>
        <w:rPr>
          <w:b/>
          <w:bCs/>
          <w:sz w:val="24"/>
          <w:szCs w:val="24"/>
        </w:rPr>
        <w:t>MESocSentiment</w:t>
      </w:r>
      <w:proofErr w:type="spellEnd"/>
      <w:r>
        <w:rPr>
          <w:b/>
          <w:bCs/>
          <w:sz w:val="24"/>
          <w:szCs w:val="24"/>
        </w:rPr>
        <w: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trPr>
        <w:tc>
          <w:tcPr>
            <w:tcW w:w="897" w:type="pct"/>
            <w:shd w:val="clear" w:color="auto" w:fill="4BACC6"/>
            <w:vAlign w:val="center"/>
          </w:tcPr>
          <w:p w14:paraId="21B32462" w14:textId="77777777" w:rsidR="00D714BA" w:rsidRDefault="00D714BA" w:rsidP="00D714BA">
            <w:pPr>
              <w:tabs>
                <w:tab w:val="left" w:pos="24"/>
              </w:tabs>
              <w:jc w:val="both"/>
              <w:rPr>
                <w:b/>
                <w:color w:val="FFFFFF"/>
                <w:sz w:val="24"/>
                <w:szCs w:val="24"/>
              </w:rPr>
            </w:pPr>
            <w:r>
              <w:rPr>
                <w:b/>
                <w:bCs/>
                <w:sz w:val="24"/>
                <w:szCs w:val="24"/>
                <w:lang w:val="en-GB"/>
              </w:rPr>
              <w:t>Analyser</w:t>
            </w:r>
          </w:p>
        </w:tc>
        <w:tc>
          <w:tcPr>
            <w:tcW w:w="1405" w:type="pct"/>
            <w:shd w:val="clear" w:color="auto" w:fill="4BACC6"/>
            <w:vAlign w:val="center"/>
          </w:tcPr>
          <w:p w14:paraId="7087761A" w14:textId="77777777" w:rsidR="00D714BA" w:rsidRDefault="00D714BA" w:rsidP="00D714BA">
            <w:pPr>
              <w:tabs>
                <w:tab w:val="left" w:pos="24"/>
              </w:tabs>
              <w:jc w:val="both"/>
              <w:rPr>
                <w:b/>
                <w:color w:val="FFFFFF"/>
                <w:sz w:val="24"/>
                <w:szCs w:val="24"/>
              </w:rPr>
            </w:pPr>
            <w:r>
              <w:rPr>
                <w:b/>
                <w:bCs/>
                <w:sz w:val="24"/>
                <w:szCs w:val="24"/>
                <w:lang w:val="en-GB"/>
              </w:rPr>
              <w:t>How the corpus authors describe it</w:t>
            </w:r>
          </w:p>
        </w:tc>
        <w:tc>
          <w:tcPr>
            <w:tcW w:w="1084" w:type="pct"/>
            <w:shd w:val="clear" w:color="auto" w:fill="4BACC6"/>
            <w:vAlign w:val="center"/>
          </w:tcPr>
          <w:p w14:paraId="17CAAD9F" w14:textId="77777777" w:rsidR="00D714BA" w:rsidRDefault="00D714BA" w:rsidP="00D714BA">
            <w:pPr>
              <w:tabs>
                <w:tab w:val="left" w:pos="24"/>
              </w:tabs>
              <w:jc w:val="both"/>
              <w:rPr>
                <w:b/>
                <w:color w:val="FFFFFF"/>
                <w:sz w:val="24"/>
                <w:szCs w:val="24"/>
              </w:rPr>
            </w:pPr>
            <w:r>
              <w:rPr>
                <w:b/>
                <w:bCs/>
                <w:sz w:val="24"/>
                <w:szCs w:val="24"/>
                <w:lang w:val="en-GB"/>
              </w:rPr>
              <w:t>Languages it is described as covering</w:t>
            </w:r>
          </w:p>
        </w:tc>
        <w:tc>
          <w:tcPr>
            <w:tcW w:w="1614" w:type="pct"/>
            <w:shd w:val="clear" w:color="auto" w:fill="4BACC6"/>
            <w:vAlign w:val="center"/>
          </w:tcPr>
          <w:p w14:paraId="55736F13" w14:textId="77777777" w:rsidR="00D714BA" w:rsidRDefault="00D714BA" w:rsidP="00D714BA">
            <w:pPr>
              <w:tabs>
                <w:tab w:val="left" w:pos="24"/>
              </w:tabs>
              <w:jc w:val="both"/>
              <w:rPr>
                <w:b/>
                <w:color w:val="FFFFFF"/>
                <w:sz w:val="24"/>
                <w:szCs w:val="24"/>
              </w:rPr>
            </w:pPr>
            <w:r>
              <w:rPr>
                <w:b/>
                <w:bCs/>
                <w:sz w:val="24"/>
                <w:szCs w:val="24"/>
                <w:lang w:val="en-GB"/>
              </w:rPr>
              <w:t>Neutral labels assigned, of 19,714</w:t>
            </w:r>
          </w:p>
        </w:tc>
      </w:tr>
      <w:tr w:rsidR="00D714BA" w14:paraId="10069CCA" w14:textId="77777777" w:rsidTr="008C0BA5">
        <w:trPr>
          <w:jc w:val="center"/>
        </w:trPr>
        <w:tc>
          <w:tcPr>
            <w:tcW w:w="897" w:type="pct"/>
            <w:shd w:val="clear" w:color="auto" w:fill="4BACC6"/>
            <w:vAlign w:val="center"/>
          </w:tcPr>
          <w:p w14:paraId="64710C1E" w14:textId="77777777" w:rsidR="00D714BA" w:rsidRDefault="00D714BA" w:rsidP="00D714BA">
            <w:pPr>
              <w:tabs>
                <w:tab w:val="left" w:pos="24"/>
              </w:tabs>
              <w:jc w:val="both"/>
              <w:rPr>
                <w:b/>
                <w:color w:val="FFFFFF"/>
                <w:sz w:val="24"/>
                <w:szCs w:val="24"/>
              </w:rPr>
            </w:pPr>
            <w:proofErr w:type="spellStart"/>
            <w:r>
              <w:rPr>
                <w:sz w:val="24"/>
                <w:szCs w:val="24"/>
                <w:lang w:val="en-GB"/>
              </w:rPr>
              <w:t>TextBlob</w:t>
            </w:r>
            <w:proofErr w:type="spellEnd"/>
          </w:p>
        </w:tc>
        <w:tc>
          <w:tcPr>
            <w:tcW w:w="1405" w:type="pct"/>
            <w:shd w:val="clear" w:color="auto" w:fill="D8D8D8"/>
            <w:vAlign w:val="center"/>
          </w:tcPr>
          <w:p w14:paraId="5FEACCF0" w14:textId="77777777" w:rsidR="00D714BA" w:rsidRDefault="00D714BA" w:rsidP="00D714BA">
            <w:pPr>
              <w:tabs>
                <w:tab w:val="left" w:pos="24"/>
              </w:tabs>
              <w:jc w:val="both"/>
              <w:rPr>
                <w:sz w:val="24"/>
                <w:szCs w:val="24"/>
              </w:rPr>
            </w:pPr>
            <w:r>
              <w:rPr>
                <w:sz w:val="24"/>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both"/>
              <w:rPr>
                <w:sz w:val="24"/>
                <w:szCs w:val="24"/>
              </w:rPr>
            </w:pPr>
            <w:r>
              <w:rPr>
                <w:sz w:val="24"/>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both"/>
              <w:rPr>
                <w:sz w:val="24"/>
                <w:szCs w:val="24"/>
              </w:rPr>
            </w:pPr>
            <w:r>
              <w:rPr>
                <w:sz w:val="24"/>
                <w:szCs w:val="24"/>
                <w:lang w:val="en-GB"/>
              </w:rPr>
              <w:t>14,305 (72.6%)</w:t>
            </w:r>
          </w:p>
        </w:tc>
      </w:tr>
      <w:tr w:rsidR="00D714BA" w14:paraId="3F10D7FD" w14:textId="77777777" w:rsidTr="008C0BA5">
        <w:trPr>
          <w:jc w:val="center"/>
        </w:trPr>
        <w:tc>
          <w:tcPr>
            <w:tcW w:w="897" w:type="pct"/>
            <w:shd w:val="clear" w:color="auto" w:fill="4BACC6"/>
            <w:vAlign w:val="center"/>
          </w:tcPr>
          <w:p w14:paraId="68B9A42F" w14:textId="77777777" w:rsidR="00D714BA" w:rsidRDefault="00D714BA" w:rsidP="00D714BA">
            <w:pPr>
              <w:tabs>
                <w:tab w:val="left" w:pos="24"/>
              </w:tabs>
              <w:jc w:val="both"/>
              <w:rPr>
                <w:b/>
                <w:color w:val="FFFFFF"/>
                <w:sz w:val="24"/>
                <w:szCs w:val="24"/>
              </w:rPr>
            </w:pPr>
            <w:r>
              <w:rPr>
                <w:sz w:val="24"/>
                <w:szCs w:val="24"/>
                <w:lang w:val="en-GB"/>
              </w:rPr>
              <w:t>VADER</w:t>
            </w:r>
          </w:p>
        </w:tc>
        <w:tc>
          <w:tcPr>
            <w:tcW w:w="1405" w:type="pct"/>
            <w:vAlign w:val="center"/>
          </w:tcPr>
          <w:p w14:paraId="34DC7EC2" w14:textId="77777777" w:rsidR="00D714BA" w:rsidRDefault="00D714BA" w:rsidP="00D714BA">
            <w:pPr>
              <w:tabs>
                <w:tab w:val="left" w:pos="24"/>
              </w:tabs>
              <w:jc w:val="both"/>
              <w:rPr>
                <w:sz w:val="24"/>
                <w:szCs w:val="24"/>
              </w:rPr>
            </w:pPr>
            <w:r>
              <w:rPr>
                <w:sz w:val="24"/>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both"/>
              <w:rPr>
                <w:sz w:val="24"/>
                <w:szCs w:val="24"/>
              </w:rPr>
            </w:pPr>
            <w:r>
              <w:rPr>
                <w:sz w:val="24"/>
                <w:szCs w:val="24"/>
                <w:lang w:val="en-GB"/>
              </w:rPr>
              <w:t>Not stated</w:t>
            </w:r>
          </w:p>
        </w:tc>
        <w:tc>
          <w:tcPr>
            <w:tcW w:w="1614" w:type="pct"/>
            <w:vAlign w:val="center"/>
          </w:tcPr>
          <w:p w14:paraId="7E3E8212" w14:textId="77777777" w:rsidR="00D714BA" w:rsidRDefault="00D714BA" w:rsidP="00D714BA">
            <w:pPr>
              <w:tabs>
                <w:tab w:val="left" w:pos="24"/>
              </w:tabs>
              <w:jc w:val="both"/>
              <w:rPr>
                <w:sz w:val="24"/>
                <w:szCs w:val="24"/>
              </w:rPr>
            </w:pPr>
            <w:r>
              <w:rPr>
                <w:sz w:val="24"/>
                <w:szCs w:val="24"/>
                <w:lang w:val="en-GB"/>
              </w:rPr>
              <w:t>13,115 (66.5%)</w:t>
            </w:r>
          </w:p>
        </w:tc>
      </w:tr>
      <w:tr w:rsidR="00D714BA" w14:paraId="0BA1F28F" w14:textId="77777777" w:rsidTr="008C0BA5">
        <w:trPr>
          <w:jc w:val="center"/>
        </w:trPr>
        <w:tc>
          <w:tcPr>
            <w:tcW w:w="897" w:type="pct"/>
            <w:shd w:val="clear" w:color="auto" w:fill="4BACC6"/>
            <w:vAlign w:val="center"/>
          </w:tcPr>
          <w:p w14:paraId="043ACAAC" w14:textId="77777777" w:rsidR="00D714BA" w:rsidRDefault="00D714BA" w:rsidP="00D714BA">
            <w:pPr>
              <w:tabs>
                <w:tab w:val="left" w:pos="24"/>
              </w:tabs>
              <w:jc w:val="both"/>
              <w:rPr>
                <w:b/>
                <w:color w:val="FFFFFF"/>
                <w:sz w:val="24"/>
                <w:szCs w:val="24"/>
              </w:rPr>
            </w:pPr>
            <w:proofErr w:type="spellStart"/>
            <w:r>
              <w:rPr>
                <w:sz w:val="24"/>
                <w:szCs w:val="24"/>
                <w:lang w:val="en-GB"/>
              </w:rPr>
              <w:t>pysentimiento</w:t>
            </w:r>
            <w:proofErr w:type="spellEnd"/>
          </w:p>
        </w:tc>
        <w:tc>
          <w:tcPr>
            <w:tcW w:w="1405" w:type="pct"/>
            <w:shd w:val="clear" w:color="auto" w:fill="D8D8D8"/>
            <w:vAlign w:val="center"/>
          </w:tcPr>
          <w:p w14:paraId="5E7DE014" w14:textId="77777777" w:rsidR="00D714BA" w:rsidRDefault="00D714BA" w:rsidP="00D714BA">
            <w:pPr>
              <w:tabs>
                <w:tab w:val="left" w:pos="24"/>
              </w:tabs>
              <w:jc w:val="both"/>
              <w:rPr>
                <w:sz w:val="24"/>
                <w:szCs w:val="24"/>
              </w:rPr>
            </w:pPr>
            <w:r>
              <w:rPr>
                <w:sz w:val="24"/>
                <w:szCs w:val="24"/>
                <w:lang w:val="en-GB"/>
              </w:rPr>
              <w:t xml:space="preserve">A toolkit "trained for sentiment analysis in English, Spanish, </w:t>
            </w:r>
            <w:proofErr w:type="spellStart"/>
            <w:r>
              <w:rPr>
                <w:sz w:val="24"/>
                <w:szCs w:val="24"/>
                <w:lang w:val="en-GB"/>
              </w:rPr>
              <w:t>Portugeuse</w:t>
            </w:r>
            <w:proofErr w:type="spellEnd"/>
            <w:r>
              <w:rPr>
                <w:sz w:val="24"/>
                <w:szCs w:val="24"/>
                <w:lang w:val="en-GB"/>
              </w:rPr>
              <w:t>, and Italian"</w:t>
            </w:r>
          </w:p>
        </w:tc>
        <w:tc>
          <w:tcPr>
            <w:tcW w:w="1084" w:type="pct"/>
            <w:shd w:val="clear" w:color="auto" w:fill="D8D8D8"/>
            <w:vAlign w:val="center"/>
          </w:tcPr>
          <w:p w14:paraId="1E0A56EE" w14:textId="77777777" w:rsidR="00D714BA" w:rsidRDefault="00D714BA" w:rsidP="00D714BA">
            <w:pPr>
              <w:tabs>
                <w:tab w:val="left" w:pos="24"/>
              </w:tabs>
              <w:jc w:val="both"/>
              <w:rPr>
                <w:sz w:val="24"/>
                <w:szCs w:val="24"/>
              </w:rPr>
            </w:pPr>
            <w:r>
              <w:rPr>
                <w:sz w:val="24"/>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both"/>
              <w:rPr>
                <w:sz w:val="24"/>
                <w:szCs w:val="24"/>
              </w:rPr>
            </w:pPr>
            <w:r>
              <w:rPr>
                <w:sz w:val="24"/>
                <w:szCs w:val="24"/>
                <w:lang w:val="en-GB"/>
              </w:rPr>
              <w:t>16,916 (85.8%)</w:t>
            </w:r>
          </w:p>
        </w:tc>
      </w:tr>
      <w:tr w:rsidR="00D714BA" w14:paraId="0B450905" w14:textId="77777777" w:rsidTr="008C0BA5">
        <w:trPr>
          <w:jc w:val="center"/>
        </w:trPr>
        <w:tc>
          <w:tcPr>
            <w:tcW w:w="897" w:type="pct"/>
            <w:shd w:val="clear" w:color="auto" w:fill="4BACC6"/>
            <w:vAlign w:val="center"/>
          </w:tcPr>
          <w:p w14:paraId="5EE321D4" w14:textId="77777777" w:rsidR="00D714BA" w:rsidRPr="00D714BA" w:rsidRDefault="00D714BA" w:rsidP="00D714BA">
            <w:pPr>
              <w:tabs>
                <w:tab w:val="left" w:pos="24"/>
              </w:tabs>
              <w:jc w:val="both"/>
              <w:rPr>
                <w:sz w:val="24"/>
                <w:szCs w:val="24"/>
                <w:lang w:val="en-GB"/>
              </w:rPr>
            </w:pPr>
            <w:r>
              <w:rPr>
                <w:sz w:val="24"/>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both"/>
              <w:rPr>
                <w:sz w:val="24"/>
                <w:szCs w:val="24"/>
                <w:lang w:val="en-GB"/>
              </w:rPr>
            </w:pPr>
            <w:r>
              <w:rPr>
                <w:sz w:val="24"/>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both"/>
              <w:rPr>
                <w:sz w:val="24"/>
                <w:szCs w:val="24"/>
                <w:lang w:val="en-GB"/>
              </w:rPr>
            </w:pPr>
            <w:r>
              <w:rPr>
                <w:sz w:val="24"/>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both"/>
              <w:rPr>
                <w:sz w:val="24"/>
                <w:szCs w:val="24"/>
                <w:lang w:val="en-GB"/>
              </w:rPr>
            </w:pPr>
            <w:r>
              <w:rPr>
                <w:sz w:val="24"/>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sz w:val="24"/>
          <w:szCs w:val="24"/>
          <w:lang w:val="en-GB"/>
        </w:rPr>
        <w:t xml:space="preserve">Two things follow. The first is that every analyser skewed neutral before any vote was taken, so the skew was not produced by the voting rule. The second is that the analyser skewing hardest, at 85.8%, is </w:t>
      </w:r>
      <w:proofErr w:type="spellStart"/>
      <w:r>
        <w:rPr>
          <w:sz w:val="24"/>
          <w:szCs w:val="24"/>
          <w:lang w:val="en-GB"/>
        </w:rPr>
        <w:t>pysentimiento</w:t>
      </w:r>
      <w:proofErr w:type="spellEnd"/>
      <w:r>
        <w:rPr>
          <w:sz w:val="24"/>
          <w:szCs w:val="24"/>
          <w:lang w:val="en-GB"/>
        </w:rPr>
        <w:t xml:space="preserve">, </w:t>
      </w:r>
      <w:r>
        <w:rPr>
          <w:sz w:val="24"/>
          <w:szCs w:val="24"/>
        </w:rPr>
        <w:t>which is the transformer-based tool of the three, built on the neural architecture that underlies most current language models</w:t>
      </w:r>
      <w:r>
        <w:rPr>
          <w:sz w:val="24"/>
          <w:szCs w:val="24"/>
          <w:lang w:val="en-GB"/>
        </w:rPr>
        <w:t xml:space="preserve">.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w:t>
      </w:r>
      <w:r>
        <w:rPr>
          <w:sz w:val="24"/>
          <w:szCs w:val="24"/>
          <w:lang w:val="en-GB"/>
        </w:rPr>
        <w:lastRenderedPageBreak/>
        <w:t>cancel that error. It ratifies it, and unanimity produced this way is indistinguishable from confidence.</w:t>
      </w:r>
    </w:p>
    <w:p w14:paraId="762AE3D0" w14:textId="77777777"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Pr>
          <w:sz w:val="24"/>
          <w:szCs w:val="24"/>
        </w:rPr>
        <w:t>That description fits the heavily code-switched and particle-laden cases Section 2 identified as the hardest to annotate</w:t>
      </w:r>
      <w:r>
        <w:rPr>
          <w:sz w:val="24"/>
          <w:szCs w:val="24"/>
          <w:lang w:val="en-GB"/>
        </w:rPr>
        <w:t>. The rule therefore removes the examples a robust classifier would most need, and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537CB1BF" w14:textId="77777777" w:rsidR="00E10A8D" w:rsidRPr="00E10A8D" w:rsidRDefault="00E10A8D" w:rsidP="00E10A8D">
      <w:pPr>
        <w:spacing w:before="120"/>
        <w:ind w:firstLine="244"/>
        <w:jc w:val="both"/>
        <w:rPr>
          <w:sz w:val="24"/>
          <w:szCs w:val="24"/>
          <w:lang w:val="en-GB"/>
        </w:rPr>
      </w:pPr>
      <w:r>
        <w:rPr>
          <w:sz w:val="24"/>
          <w:szCs w:val="24"/>
          <w:lang w:val="en-GB"/>
        </w:rPr>
        <w:t>The methodological literature on annotation supports treating that deletion as a loss rather than a cleanup. Uma et al. (2021) question the assumption that a single correct interpretation exists for every item. On that view, the 512 discarded posts were not noise removed from the corpus but signal removed from it.</w:t>
      </w:r>
    </w:p>
    <w:p w14:paraId="71BBD56F" w14:textId="77777777" w:rsidR="00CE6FEC" w:rsidRDefault="00CE6FEC" w:rsidP="00CE6FEC">
      <w:pPr>
        <w:spacing w:before="120"/>
        <w:ind w:firstLine="244"/>
        <w:jc w:val="both"/>
        <w:rPr>
          <w:sz w:val="24"/>
          <w:szCs w:val="24"/>
          <w:lang w:val="en-GB"/>
        </w:rPr>
      </w:pPr>
      <w:r>
        <w:rPr>
          <w:sz w:val="24"/>
          <w:szCs w:val="24"/>
          <w:lang w:val="en-GB"/>
        </w:rPr>
        <w:t xml:space="preserve">What the reviewed literature does not contain is any evaluation of a better procedure on this data. </w:t>
      </w:r>
      <w:r>
        <w:rPr>
          <w:sz w:val="24"/>
          <w:szCs w:val="24"/>
        </w:rPr>
        <w:t xml:space="preserve">No study examined here adjudicates annotator disagreement </w:t>
      </w:r>
      <w:r>
        <w:rPr>
          <w:sz w:val="24"/>
          <w:szCs w:val="24"/>
          <w:lang w:val="en-GB"/>
        </w:rPr>
        <w:t>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6 as questions for future research.</w:t>
      </w:r>
    </w:p>
    <w:p w14:paraId="4DF7F67D" w14:textId="77777777" w:rsidR="000C3BC5" w:rsidRDefault="000C3BC5" w:rsidP="00B30939">
      <w:pPr>
        <w:jc w:val="both"/>
        <w:rPr>
          <w:sz w:val="24"/>
          <w:szCs w:val="24"/>
          <w:lang w:val="en-GB"/>
        </w:rPr>
      </w:pPr>
    </w:p>
    <w:p w14:paraId="3CB7FA4B" w14:textId="77777777" w:rsidR="000C3BC5" w:rsidRPr="006546A0" w:rsidRDefault="00C127AD" w:rsidP="000C3BC5">
      <w:pPr>
        <w:tabs>
          <w:tab w:val="left" w:pos="24"/>
        </w:tabs>
        <w:jc w:val="both"/>
        <w:rPr>
          <w:b/>
          <w:sz w:val="26"/>
          <w:szCs w:val="26"/>
        </w:rPr>
      </w:pPr>
      <w:r>
        <w:rPr>
          <w:b/>
          <w:sz w:val="26"/>
          <w:szCs w:val="26"/>
        </w:rPr>
        <w:t>4. Models as Annotation Instruments</w:t>
      </w:r>
    </w:p>
    <w:p w14:paraId="7909E3C3" w14:textId="77777777" w:rsidR="00A76001" w:rsidRPr="00A76001" w:rsidRDefault="00A76001" w:rsidP="00A76001">
      <w:pPr>
        <w:spacing w:before="120"/>
        <w:ind w:firstLine="244"/>
        <w:jc w:val="both"/>
        <w:rPr>
          <w:sz w:val="24"/>
          <w:szCs w:val="24"/>
          <w:lang w:val="en-GB"/>
        </w:rPr>
      </w:pPr>
      <w:r>
        <w:rPr>
          <w:sz w:val="24"/>
          <w:szCs w:val="24"/>
          <w:lang w:val="en-GB"/>
        </w:rPr>
        <w:t xml:space="preserve">Section 3 established that the choice of annotator determines which errors a corpus will contain. This section asks where each family of model is limited when used as an annotator. </w:t>
      </w:r>
      <w:r>
        <w:rPr>
          <w:sz w:val="24"/>
          <w:szCs w:val="24"/>
        </w:rPr>
        <w:t>Two families are examined: fine-tuned multilingual encoders, and generative models used directly as annotators.</w:t>
      </w:r>
      <w:r>
        <w:rPr>
          <w:sz w:val="24"/>
          <w:szCs w:val="24"/>
          <w:lang w:val="en-GB"/>
        </w:rPr>
        <w:t xml:space="preserve"> The question is not which architecture classifies best, which belongs to the comparative benchmarking placed outside the scope in Section 1. It is what each family cannot read, because that limitation is inherited by every corpus it labels.</w:t>
      </w:r>
    </w:p>
    <w:p w14:paraId="0B73ABDA" w14:textId="77777777" w:rsidR="00A76001" w:rsidRPr="00A76001" w:rsidRDefault="00A76001" w:rsidP="00A76001">
      <w:pPr>
        <w:spacing w:before="120"/>
        <w:ind w:firstLine="244"/>
        <w:jc w:val="both"/>
        <w:rPr>
          <w:sz w:val="24"/>
          <w:szCs w:val="24"/>
          <w:lang w:val="en-GB"/>
        </w:rPr>
      </w:pPr>
      <w:r>
        <w:rPr>
          <w:sz w:val="24"/>
          <w:szCs w:val="24"/>
          <w:lang w:val="en-GB"/>
        </w:rPr>
        <w:t xml:space="preserve">Fine-tuned multilingual encoders acquire their competence from exposure. </w:t>
      </w:r>
      <w:r>
        <w:rPr>
          <w:sz w:val="24"/>
          <w:szCs w:val="24"/>
        </w:rPr>
        <w:t>An encoder here is a model that reads text and produces representations of it, rather than generating new text.</w:t>
      </w:r>
      <w:r>
        <w:rPr>
          <w:sz w:val="24"/>
          <w:szCs w:val="24"/>
          <w:lang w:val="en-GB"/>
        </w:rPr>
        <w:t xml:space="preserve"> </w:t>
      </w:r>
      <w:proofErr w:type="spellStart"/>
      <w:r>
        <w:rPr>
          <w:sz w:val="24"/>
          <w:szCs w:val="24"/>
          <w:lang w:val="en-GB"/>
        </w:rPr>
        <w:t>Manukonda</w:t>
      </w:r>
      <w:proofErr w:type="spellEnd"/>
      <w:r>
        <w:rPr>
          <w:sz w:val="24"/>
          <w:szCs w:val="24"/>
          <w:lang w:val="en-GB"/>
        </w:rPr>
        <w:t xml:space="preserve"> and Kodali (2025) illustrate the mechanism. </w:t>
      </w:r>
      <w:r>
        <w:rPr>
          <w:sz w:val="24"/>
          <w:szCs w:val="24"/>
        </w:rPr>
        <w:t>They fine-tuned XLM-</w:t>
      </w:r>
      <w:proofErr w:type="spellStart"/>
      <w:r>
        <w:rPr>
          <w:sz w:val="24"/>
          <w:szCs w:val="24"/>
        </w:rPr>
        <w:t>RoBERTa</w:t>
      </w:r>
      <w:proofErr w:type="spellEnd"/>
      <w:r>
        <w:rPr>
          <w:sz w:val="24"/>
          <w:szCs w:val="24"/>
        </w:rPr>
        <w:t xml:space="preserve">, a multilingual encoder model, over original, fully transliterated and partially transliterated versions of the same text, and report a macro F1 of 0.90 on the shared-task test set. The training method was masked </w:t>
      </w:r>
      <w:r>
        <w:rPr>
          <w:sz w:val="24"/>
          <w:szCs w:val="24"/>
        </w:rPr>
        <w:lastRenderedPageBreak/>
        <w:t>language modelling, in which the model predicts words hidden from the input. Macro F1 is the mean of the per-class F1 scores, and F1 is the harmonic mean of precision and recall</w:t>
      </w:r>
      <w:r>
        <w:rPr>
          <w:sz w:val="24"/>
          <w:szCs w:val="24"/>
          <w:lang w:val="en-GB"/>
        </w:rPr>
        <w:t>.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rather than sentiment analysis in Malay. What transfers is the mechanism, not the result.</w:t>
      </w:r>
    </w:p>
    <w:p w14:paraId="6F946EFC" w14:textId="77777777" w:rsidR="00A76001" w:rsidRPr="00A76001" w:rsidRDefault="00835475" w:rsidP="00A76001">
      <w:pPr>
        <w:spacing w:before="120"/>
        <w:ind w:firstLine="244"/>
        <w:jc w:val="both"/>
        <w:rPr>
          <w:sz w:val="24"/>
          <w:szCs w:val="24"/>
          <w:lang w:val="en-GB"/>
        </w:rPr>
      </w:pPr>
      <w:r>
        <w:rPr>
          <w:sz w:val="24"/>
          <w:szCs w:val="24"/>
        </w:rPr>
        <w:t>Generative models locate their competence differently. Section 3.1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The competence is distributed unevenly across languages, and not in the way resource volume alone would predict. Jadhav et al. (2025) found frontier models trailing a fine-tuned BERT baseline by 10.2% and 14.1% accuracy when annotating Marathi. </w:t>
      </w:r>
      <w:proofErr w:type="spellStart"/>
      <w:r>
        <w:rPr>
          <w:sz w:val="24"/>
          <w:szCs w:val="24"/>
          <w:lang w:val="en-GB"/>
        </w:rPr>
        <w:t>Adilazuarda</w:t>
      </w:r>
      <w:proofErr w:type="spellEnd"/>
      <w:r>
        <w:rPr>
          <w:sz w:val="24"/>
          <w:szCs w:val="24"/>
          <w:lang w:val="en-GB"/>
        </w:rPr>
        <w:t xml:space="preserve"> et al. (2022) tested Indonesian code-mixed with four embedded languages, namely English, Sundanese, Javanese and Malay, and found robustness to English mixing lower than robustness to Javanese and Malay mixing across all models tested. They attribute the difference to the composition of the pre-training corpus. The direction of that result should be stated explicitly. The embedded language best represented in pre-training was the one the models handled least robustly. Robustness to code-mixing therefore does not follow directly from how much of a language a model has seen.</w:t>
      </w:r>
    </w:p>
    <w:p w14:paraId="2C729A81" w14:textId="77777777" w:rsidR="00A76001" w:rsidRDefault="00A76001" w:rsidP="00A76001">
      <w:pPr>
        <w:spacing w:before="120"/>
        <w:ind w:firstLine="244"/>
        <w:jc w:val="both"/>
        <w:rPr>
          <w:sz w:val="24"/>
          <w:szCs w:val="24"/>
          <w:lang w:val="en-GB"/>
        </w:rPr>
      </w:pPr>
      <w:r>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tabs>
          <w:tab w:val="left" w:pos="24"/>
        </w:tabs>
        <w:jc w:val="both"/>
        <w:rPr>
          <w:b/>
          <w:sz w:val="26"/>
          <w:szCs w:val="26"/>
        </w:rPr>
      </w:pPr>
      <w:r>
        <w:rPr>
          <w:b/>
          <w:sz w:val="26"/>
          <w:szCs w:val="26"/>
        </w:rPr>
        <w:t>5. Evaluating Annotation Reliability</w:t>
      </w:r>
    </w:p>
    <w:p w14:paraId="6C070B93" w14:textId="77777777" w:rsidR="00FD39E7" w:rsidRPr="00FD39E7" w:rsidRDefault="00FD39E7" w:rsidP="00FD39E7">
      <w:pPr>
        <w:spacing w:before="120"/>
        <w:ind w:firstLine="244"/>
        <w:jc w:val="both"/>
        <w:rPr>
          <w:sz w:val="24"/>
          <w:szCs w:val="24"/>
          <w:lang w:val="en-GB"/>
        </w:rPr>
      </w:pPr>
      <w:r>
        <w:rPr>
          <w:sz w:val="24"/>
          <w:szCs w:val="24"/>
          <w:lang w:val="en-GB"/>
        </w:rPr>
        <w:t>Sections 3 and 4 concerned how labels are produced. This section concerns how the labels that result are shown to be sound. Reliability is normally demonstrated with a chance-corrected agreement coefficient, of which Cohen's κ is the most widely used (</w:t>
      </w:r>
      <w:r>
        <w:rPr>
          <w:sz w:val="24"/>
          <w:szCs w:val="24"/>
        </w:rPr>
        <w:t xml:space="preserve">Cohen, 1960;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w:t>
      </w:r>
      <w:r>
        <w:rPr>
          <w:sz w:val="24"/>
          <w:szCs w:val="24"/>
          <w:lang w:val="en-GB"/>
        </w:rPr>
        <w:t>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w:t>
      </w:r>
    </w:p>
    <w:p w14:paraId="655403FB" w14:textId="77777777" w:rsidR="00FD39E7" w:rsidRPr="00FD39E7" w:rsidRDefault="00FD39E7" w:rsidP="00FD39E7">
      <w:pPr>
        <w:spacing w:before="120"/>
        <w:ind w:firstLine="244"/>
        <w:jc w:val="both"/>
        <w:rPr>
          <w:sz w:val="24"/>
          <w:szCs w:val="24"/>
          <w:lang w:val="en-GB"/>
        </w:rPr>
      </w:pPr>
      <w:r>
        <w:rPr>
          <w:sz w:val="24"/>
          <w:szCs w:val="24"/>
          <w:lang w:val="en-GB"/>
        </w:rPr>
        <w:lastRenderedPageBreak/>
        <w:t xml:space="preserve">Those conventions assume that expected chance agreement is stable across datasets, and it is not. Feinstein and Cicchetti (1990) show that an imbalance in the marginal totals of an agreement table can convert a high observed agreement into a low coefficient. Their worked example illustrates the effect.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Di Eugenio and Glass (2004) name the effect the prevalence problem, and report a case in which two coders agreeing on 90 of 100 items yield κ values ranging from −0.048 to 0.80, depending only on how the two categories are distributed.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sz w:val="24"/>
          <w:szCs w:val="24"/>
          <w:lang w:val="en-GB"/>
        </w:rPr>
        <w:t>That is the condition Malaysian code-mixed sentiment data is in. Section 3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EB2B166" w14:textId="77777777" w:rsidR="00867116" w:rsidRPr="00867116" w:rsidRDefault="00867116" w:rsidP="00867116">
      <w:pPr>
        <w:spacing w:before="120"/>
        <w:ind w:firstLine="244"/>
        <w:jc w:val="both"/>
        <w:rPr>
          <w:sz w:val="24"/>
          <w:szCs w:val="24"/>
          <w:lang w:val="en-GB"/>
        </w:rPr>
      </w:pPr>
      <w:r>
        <w:rPr>
          <w:sz w:val="24"/>
          <w:szCs w:val="24"/>
          <w:lang w:val="en-GB"/>
        </w:rPr>
        <w:t>Table 3 sets out what the studies introducing the four Malay-English sentiment resources report about the reliability of their annotation.</w:t>
      </w:r>
    </w:p>
    <w:p w14:paraId="384C7D88" w14:textId="77777777" w:rsidR="00D714BA" w:rsidRPr="00867116" w:rsidRDefault="00867116" w:rsidP="00867116">
      <w:pPr>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trPr>
        <w:tc>
          <w:tcPr>
            <w:tcW w:w="1073" w:type="pct"/>
            <w:shd w:val="clear" w:color="auto" w:fill="4BACC6"/>
            <w:vAlign w:val="center"/>
          </w:tcPr>
          <w:p w14:paraId="69789E53" w14:textId="77777777" w:rsidR="00867116" w:rsidRDefault="00867116" w:rsidP="00867116">
            <w:pPr>
              <w:tabs>
                <w:tab w:val="left" w:pos="24"/>
              </w:tabs>
              <w:jc w:val="both"/>
              <w:rPr>
                <w:b/>
                <w:color w:val="FFFFFF"/>
                <w:sz w:val="24"/>
                <w:szCs w:val="24"/>
              </w:rPr>
            </w:pPr>
            <w:r>
              <w:rPr>
                <w:b/>
                <w:bCs/>
                <w:sz w:val="24"/>
                <w:szCs w:val="24"/>
                <w:lang w:val="en-GB"/>
              </w:rPr>
              <w:t>Corpus</w:t>
            </w:r>
          </w:p>
        </w:tc>
        <w:tc>
          <w:tcPr>
            <w:tcW w:w="914" w:type="pct"/>
            <w:shd w:val="clear" w:color="auto" w:fill="4BACC6"/>
            <w:vAlign w:val="center"/>
          </w:tcPr>
          <w:p w14:paraId="535EC0C6" w14:textId="77777777" w:rsidR="00867116" w:rsidRDefault="00867116" w:rsidP="00867116">
            <w:pPr>
              <w:tabs>
                <w:tab w:val="left" w:pos="24"/>
              </w:tabs>
              <w:jc w:val="both"/>
              <w:rPr>
                <w:b/>
                <w:color w:val="FFFFFF"/>
                <w:sz w:val="24"/>
                <w:szCs w:val="24"/>
              </w:rPr>
            </w:pPr>
            <w:r>
              <w:rPr>
                <w:b/>
                <w:bCs/>
                <w:sz w:val="24"/>
                <w:szCs w:val="24"/>
                <w:lang w:val="en-GB"/>
              </w:rPr>
              <w:t>Annotators</w:t>
            </w:r>
          </w:p>
        </w:tc>
        <w:tc>
          <w:tcPr>
            <w:tcW w:w="755" w:type="pct"/>
            <w:shd w:val="clear" w:color="auto" w:fill="4BACC6"/>
            <w:vAlign w:val="center"/>
          </w:tcPr>
          <w:p w14:paraId="751657F9" w14:textId="77777777" w:rsidR="00867116" w:rsidRDefault="00867116" w:rsidP="00867116">
            <w:pPr>
              <w:tabs>
                <w:tab w:val="left" w:pos="24"/>
              </w:tabs>
              <w:jc w:val="both"/>
              <w:rPr>
                <w:b/>
                <w:color w:val="FFFFFF"/>
                <w:sz w:val="24"/>
                <w:szCs w:val="24"/>
              </w:rPr>
            </w:pPr>
            <w:r>
              <w:rPr>
                <w:b/>
                <w:bCs/>
                <w:sz w:val="24"/>
                <w:szCs w:val="24"/>
                <w:lang w:val="en-GB"/>
              </w:rPr>
              <w:t>Written guideline</w:t>
            </w:r>
          </w:p>
        </w:tc>
        <w:tc>
          <w:tcPr>
            <w:tcW w:w="779" w:type="pct"/>
            <w:shd w:val="clear" w:color="auto" w:fill="4BACC6"/>
            <w:vAlign w:val="center"/>
          </w:tcPr>
          <w:p w14:paraId="7539E8CF" w14:textId="77777777" w:rsidR="00867116" w:rsidRDefault="00867116" w:rsidP="00867116">
            <w:pPr>
              <w:tabs>
                <w:tab w:val="left" w:pos="24"/>
              </w:tabs>
              <w:jc w:val="both"/>
              <w:rPr>
                <w:b/>
                <w:color w:val="FFFFFF"/>
                <w:sz w:val="24"/>
                <w:szCs w:val="24"/>
              </w:rPr>
            </w:pPr>
            <w:r>
              <w:rPr>
                <w:b/>
                <w:bCs/>
                <w:sz w:val="24"/>
                <w:szCs w:val="24"/>
                <w:lang w:val="en-GB"/>
              </w:rPr>
              <w:t>Coefficient reported</w:t>
            </w:r>
          </w:p>
        </w:tc>
        <w:tc>
          <w:tcPr>
            <w:tcW w:w="1480" w:type="pct"/>
            <w:shd w:val="clear" w:color="auto" w:fill="4BACC6"/>
          </w:tcPr>
          <w:p w14:paraId="49A5490E" w14:textId="77777777" w:rsidR="00867116" w:rsidRPr="00867116" w:rsidRDefault="00867116" w:rsidP="00867116">
            <w:pPr>
              <w:tabs>
                <w:tab w:val="left" w:pos="24"/>
              </w:tabs>
              <w:jc w:val="both"/>
              <w:rPr>
                <w:b/>
                <w:bCs/>
                <w:sz w:val="24"/>
                <w:szCs w:val="24"/>
                <w:lang w:val="en-GB"/>
              </w:rPr>
            </w:pPr>
            <w:r>
              <w:rPr>
                <w:b/>
                <w:bCs/>
                <w:sz w:val="24"/>
                <w:szCs w:val="24"/>
                <w:lang w:val="en-GB"/>
              </w:rPr>
              <w:t>What the coefficient measured</w:t>
            </w:r>
          </w:p>
        </w:tc>
      </w:tr>
      <w:tr w:rsidR="00867116" w14:paraId="16B632AD" w14:textId="77777777" w:rsidTr="00725006">
        <w:trPr>
          <w:jc w:val="center"/>
        </w:trPr>
        <w:tc>
          <w:tcPr>
            <w:tcW w:w="1073" w:type="pct"/>
            <w:shd w:val="clear" w:color="auto" w:fill="4BACC6"/>
            <w:vAlign w:val="center"/>
          </w:tcPr>
          <w:p w14:paraId="79AB3FF4" w14:textId="77777777" w:rsidR="00867116" w:rsidRDefault="00867116" w:rsidP="00867116">
            <w:pPr>
              <w:tabs>
                <w:tab w:val="left" w:pos="24"/>
              </w:tabs>
              <w:jc w:val="both"/>
              <w:rPr>
                <w:b/>
                <w:color w:val="FFFFFF"/>
                <w:sz w:val="24"/>
                <w:szCs w:val="24"/>
              </w:rPr>
            </w:pPr>
            <w:proofErr w:type="spellStart"/>
            <w:r>
              <w:rPr>
                <w:sz w:val="24"/>
                <w:szCs w:val="24"/>
                <w:lang w:val="en-GB"/>
              </w:rPr>
              <w:t>MESocSentiment</w:t>
            </w:r>
            <w:proofErr w:type="spellEnd"/>
            <w:r>
              <w:rPr>
                <w:sz w:val="24"/>
                <w:szCs w:val="24"/>
                <w:lang w:val="en-GB"/>
              </w:rPr>
              <w:t xml:space="preserve"> (Mohd Shamsuddin et al., 2024)</w:t>
            </w:r>
          </w:p>
        </w:tc>
        <w:tc>
          <w:tcPr>
            <w:tcW w:w="914" w:type="pct"/>
            <w:shd w:val="clear" w:color="auto" w:fill="D8D8D8"/>
            <w:vAlign w:val="center"/>
          </w:tcPr>
          <w:p w14:paraId="39C174BE" w14:textId="77777777" w:rsidR="00867116" w:rsidRDefault="00867116" w:rsidP="00867116">
            <w:pPr>
              <w:tabs>
                <w:tab w:val="left" w:pos="24"/>
              </w:tabs>
              <w:jc w:val="both"/>
              <w:rPr>
                <w:sz w:val="24"/>
                <w:szCs w:val="24"/>
              </w:rPr>
            </w:pPr>
            <w:r>
              <w:rPr>
                <w:sz w:val="24"/>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both"/>
              <w:rPr>
                <w:sz w:val="24"/>
                <w:szCs w:val="24"/>
              </w:rPr>
            </w:pPr>
            <w:r>
              <w:rPr>
                <w:sz w:val="24"/>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both"/>
              <w:rPr>
                <w:sz w:val="24"/>
                <w:szCs w:val="24"/>
              </w:rPr>
            </w:pPr>
            <w:r>
              <w:rPr>
                <w:sz w:val="24"/>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5875CEFA" w14:textId="77777777" w:rsidTr="00725006">
        <w:trPr>
          <w:jc w:val="center"/>
        </w:trPr>
        <w:tc>
          <w:tcPr>
            <w:tcW w:w="1073" w:type="pct"/>
            <w:shd w:val="clear" w:color="auto" w:fill="4BACC6"/>
            <w:vAlign w:val="center"/>
          </w:tcPr>
          <w:p w14:paraId="66C2CE38" w14:textId="77777777" w:rsidR="00867116" w:rsidRDefault="00867116" w:rsidP="00867116">
            <w:pPr>
              <w:tabs>
                <w:tab w:val="left" w:pos="24"/>
              </w:tabs>
              <w:jc w:val="both"/>
              <w:rPr>
                <w:b/>
                <w:color w:val="FFFFFF"/>
                <w:sz w:val="24"/>
                <w:szCs w:val="24"/>
              </w:rPr>
            </w:pPr>
            <w:proofErr w:type="spellStart"/>
            <w:r>
              <w:rPr>
                <w:sz w:val="24"/>
                <w:szCs w:val="24"/>
                <w:lang w:val="en-GB"/>
              </w:rPr>
              <w:t>MyCovid</w:t>
            </w:r>
            <w:proofErr w:type="spellEnd"/>
            <w:r>
              <w:rPr>
                <w:sz w:val="24"/>
                <w:szCs w:val="24"/>
                <w:lang w:val="en-GB"/>
              </w:rPr>
              <w:t>-Senti (Kong et al., 2023)</w:t>
            </w:r>
          </w:p>
        </w:tc>
        <w:tc>
          <w:tcPr>
            <w:tcW w:w="914" w:type="pct"/>
            <w:vAlign w:val="center"/>
          </w:tcPr>
          <w:p w14:paraId="5A6E1D19" w14:textId="77777777" w:rsidR="00867116" w:rsidRDefault="00867116" w:rsidP="00867116">
            <w:pPr>
              <w:tabs>
                <w:tab w:val="left" w:pos="24"/>
              </w:tabs>
              <w:jc w:val="both"/>
              <w:rPr>
                <w:sz w:val="24"/>
                <w:szCs w:val="24"/>
              </w:rPr>
            </w:pPr>
            <w:r>
              <w:rPr>
                <w:sz w:val="24"/>
                <w:szCs w:val="24"/>
                <w:lang w:val="en-GB"/>
              </w:rPr>
              <w:t>Three, independent</w:t>
            </w:r>
          </w:p>
        </w:tc>
        <w:tc>
          <w:tcPr>
            <w:tcW w:w="755" w:type="pct"/>
            <w:vAlign w:val="center"/>
          </w:tcPr>
          <w:p w14:paraId="4D5F315B" w14:textId="77777777" w:rsidR="00867116" w:rsidRDefault="00867116" w:rsidP="00867116">
            <w:pPr>
              <w:tabs>
                <w:tab w:val="left" w:pos="24"/>
              </w:tabs>
              <w:jc w:val="both"/>
              <w:rPr>
                <w:sz w:val="24"/>
                <w:szCs w:val="24"/>
              </w:rPr>
            </w:pPr>
            <w:r>
              <w:rPr>
                <w:sz w:val="24"/>
                <w:szCs w:val="24"/>
                <w:lang w:val="en-GB"/>
              </w:rPr>
              <w:t>Yes</w:t>
            </w:r>
          </w:p>
        </w:tc>
        <w:tc>
          <w:tcPr>
            <w:tcW w:w="779" w:type="pct"/>
            <w:vAlign w:val="center"/>
          </w:tcPr>
          <w:p w14:paraId="57F551C4" w14:textId="77777777" w:rsidR="00867116" w:rsidRDefault="00867116" w:rsidP="00867116">
            <w:pPr>
              <w:tabs>
                <w:tab w:val="left" w:pos="24"/>
              </w:tabs>
              <w:jc w:val="both"/>
              <w:rPr>
                <w:sz w:val="24"/>
                <w:szCs w:val="24"/>
              </w:rPr>
            </w:pPr>
            <w:r>
              <w:rPr>
                <w:sz w:val="24"/>
                <w:szCs w:val="24"/>
                <w:lang w:val="en-GB"/>
              </w:rPr>
              <w:t>None</w:t>
            </w:r>
          </w:p>
        </w:tc>
        <w:tc>
          <w:tcPr>
            <w:tcW w:w="1480" w:type="pct"/>
            <w:vAlign w:val="center"/>
          </w:tcPr>
          <w:p w14:paraId="794EA0A5"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4F8514A8" w14:textId="77777777" w:rsidTr="00725006">
        <w:trPr>
          <w:jc w:val="center"/>
        </w:trPr>
        <w:tc>
          <w:tcPr>
            <w:tcW w:w="1073" w:type="pct"/>
            <w:shd w:val="clear" w:color="auto" w:fill="4BACC6"/>
            <w:vAlign w:val="center"/>
          </w:tcPr>
          <w:p w14:paraId="3A924289" w14:textId="77777777" w:rsidR="00867116" w:rsidRDefault="00867116" w:rsidP="00867116">
            <w:pPr>
              <w:tabs>
                <w:tab w:val="left" w:pos="24"/>
              </w:tabs>
              <w:jc w:val="both"/>
              <w:rPr>
                <w:b/>
                <w:color w:val="FFFFFF"/>
                <w:sz w:val="24"/>
                <w:szCs w:val="24"/>
              </w:rPr>
            </w:pPr>
            <w:r>
              <w:rPr>
                <w:sz w:val="24"/>
                <w:szCs w:val="24"/>
                <w:lang w:val="en-GB"/>
              </w:rPr>
              <w:t>MY-EN-CS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2019)</w:t>
            </w:r>
          </w:p>
        </w:tc>
        <w:tc>
          <w:tcPr>
            <w:tcW w:w="914" w:type="pct"/>
            <w:shd w:val="clear" w:color="auto" w:fill="D8D8D8"/>
            <w:vAlign w:val="center"/>
          </w:tcPr>
          <w:p w14:paraId="180F42F6" w14:textId="77777777" w:rsidR="00867116" w:rsidRDefault="00867116" w:rsidP="00867116">
            <w:pPr>
              <w:tabs>
                <w:tab w:val="left" w:pos="24"/>
              </w:tabs>
              <w:jc w:val="both"/>
              <w:rPr>
                <w:sz w:val="24"/>
                <w:szCs w:val="24"/>
              </w:rPr>
            </w:pPr>
            <w:r>
              <w:rPr>
                <w:sz w:val="24"/>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both"/>
              <w:rPr>
                <w:sz w:val="24"/>
                <w:szCs w:val="24"/>
              </w:rPr>
            </w:pPr>
            <w:r>
              <w:rPr>
                <w:sz w:val="24"/>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both"/>
              <w:rPr>
                <w:sz w:val="24"/>
                <w:szCs w:val="24"/>
              </w:rPr>
            </w:pPr>
            <w:r>
              <w:rPr>
                <w:sz w:val="24"/>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both"/>
              <w:rPr>
                <w:sz w:val="24"/>
                <w:szCs w:val="24"/>
                <w:lang w:val="en-GB"/>
              </w:rPr>
            </w:pPr>
            <w:r>
              <w:rPr>
                <w:sz w:val="24"/>
                <w:szCs w:val="24"/>
                <w:lang w:val="en-GB"/>
              </w:rPr>
              <w:t>Whether a sentence is opinionated or factual</w:t>
            </w:r>
          </w:p>
        </w:tc>
      </w:tr>
      <w:tr w:rsidR="00867116" w:rsidRPr="00D714BA" w14:paraId="29810363" w14:textId="77777777" w:rsidTr="00725006">
        <w:trPr>
          <w:jc w:val="center"/>
        </w:trPr>
        <w:tc>
          <w:tcPr>
            <w:tcW w:w="1073" w:type="pct"/>
            <w:shd w:val="clear" w:color="auto" w:fill="4BACC6"/>
            <w:vAlign w:val="center"/>
          </w:tcPr>
          <w:p w14:paraId="3F765835" w14:textId="77777777" w:rsidR="00867116" w:rsidRPr="00D714BA" w:rsidRDefault="00867116" w:rsidP="00867116">
            <w:pPr>
              <w:tabs>
                <w:tab w:val="left" w:pos="24"/>
              </w:tabs>
              <w:jc w:val="both"/>
              <w:rPr>
                <w:sz w:val="24"/>
                <w:szCs w:val="24"/>
                <w:lang w:val="en-GB"/>
              </w:rPr>
            </w:pPr>
            <w:proofErr w:type="spellStart"/>
            <w:r>
              <w:rPr>
                <w:sz w:val="24"/>
                <w:szCs w:val="24"/>
                <w:lang w:val="en-GB"/>
              </w:rPr>
              <w:lastRenderedPageBreak/>
              <w:t>SentiBahasaRojak</w:t>
            </w:r>
            <w:proofErr w:type="spellEnd"/>
            <w:r>
              <w:rPr>
                <w:sz w:val="24"/>
                <w:szCs w:val="24"/>
                <w:lang w:val="en-GB"/>
              </w:rPr>
              <w:t xml:space="preserve"> (</w:t>
            </w:r>
            <w:proofErr w:type="spellStart"/>
            <w:r>
              <w:rPr>
                <w:sz w:val="24"/>
                <w:szCs w:val="24"/>
                <w:lang w:val="en-GB"/>
              </w:rPr>
              <w:t>Romadhona</w:t>
            </w:r>
            <w:proofErr w:type="spellEnd"/>
            <w:r>
              <w:rPr>
                <w:sz w:val="24"/>
                <w:szCs w:val="24"/>
                <w:lang w:val="en-GB"/>
              </w:rPr>
              <w:t xml:space="preserve"> et al., 2022)</w:t>
            </w:r>
          </w:p>
        </w:tc>
        <w:tc>
          <w:tcPr>
            <w:tcW w:w="914" w:type="pct"/>
            <w:shd w:val="clear" w:color="auto" w:fill="D8D8D8"/>
            <w:vAlign w:val="center"/>
          </w:tcPr>
          <w:p w14:paraId="3A22C7AA" w14:textId="77777777" w:rsidR="00867116" w:rsidRPr="00D714BA" w:rsidRDefault="00867116" w:rsidP="00867116">
            <w:pPr>
              <w:tabs>
                <w:tab w:val="left" w:pos="24"/>
              </w:tabs>
              <w:jc w:val="both"/>
              <w:rPr>
                <w:sz w:val="24"/>
                <w:szCs w:val="24"/>
                <w:lang w:val="en-GB"/>
              </w:rPr>
            </w:pPr>
            <w:r>
              <w:rPr>
                <w:sz w:val="24"/>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both"/>
              <w:rPr>
                <w:sz w:val="24"/>
                <w:szCs w:val="24"/>
                <w:lang w:val="en-GB"/>
              </w:rPr>
            </w:pPr>
            <w:r>
              <w:rPr>
                <w:sz w:val="24"/>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both"/>
              <w:rPr>
                <w:sz w:val="24"/>
                <w:szCs w:val="24"/>
                <w:lang w:val="en-GB"/>
              </w:rPr>
            </w:pPr>
            <w:r>
              <w:rPr>
                <w:sz w:val="24"/>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both"/>
              <w:rPr>
                <w:sz w:val="24"/>
                <w:szCs w:val="24"/>
                <w:lang w:val="en-GB"/>
              </w:rPr>
            </w:pPr>
            <w:r>
              <w:rPr>
                <w:sz w:val="24"/>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both"/>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sz w:val="24"/>
          <w:szCs w:val="24"/>
          <w:lang w:val="en-GB"/>
        </w:rPr>
        <w:t xml:space="preserve">Three observations follow. The studies introducing two of the four resources report no agreement coefficient at all, including one whose corpus was annotated by three people working from a written guideline. The two coefficients that are reported were obtained for binary judgements, and neither is the three-class polarity task for which the resources are used. </w:t>
      </w:r>
      <w:proofErr w:type="spellStart"/>
      <w:r>
        <w:rPr>
          <w:sz w:val="24"/>
          <w:szCs w:val="24"/>
          <w:lang w:val="en-GB"/>
        </w:rPr>
        <w:t>Romadhona</w:t>
      </w:r>
      <w:proofErr w:type="spellEnd"/>
      <w:r>
        <w:rPr>
          <w:sz w:val="24"/>
          <w:szCs w:val="24"/>
          <w:lang w:val="en-GB"/>
        </w:rPr>
        <w:t xml:space="preserve"> et al. (2022) report a kappa value without stating which coefficient it is. Their annotation used five experts with the final label set by majority vote, and Cohen's κ is defined for two annotators.</w:t>
      </w:r>
    </w:p>
    <w:p w14:paraId="23071AE4" w14:textId="77777777" w:rsidR="00867116" w:rsidRDefault="00455F1A" w:rsidP="00867116">
      <w:pPr>
        <w:spacing w:before="120"/>
        <w:ind w:firstLine="244"/>
        <w:jc w:val="both"/>
        <w:rPr>
          <w:sz w:val="24"/>
          <w:szCs w:val="24"/>
          <w:lang w:val="en-GB"/>
        </w:rPr>
      </w:pPr>
      <w:r>
        <w:rPr>
          <w:sz w:val="24"/>
          <w:szCs w:val="24"/>
        </w:rPr>
        <w:t>None of the four corpora examined here therefore supplies what a reliability claim requires</w:t>
      </w:r>
      <w:r>
        <w:rPr>
          <w:sz w:val="24"/>
          <w:szCs w:val="24"/>
          <w:lang w:val="en-GB"/>
        </w:rPr>
        <w:t>: a coefficient of a stated type, computed for the task the labels are used for, over annotators whose number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tabs>
          <w:tab w:val="left" w:pos="24"/>
        </w:tabs>
        <w:jc w:val="both"/>
        <w:rPr>
          <w:b/>
          <w:sz w:val="26"/>
          <w:szCs w:val="26"/>
        </w:rPr>
      </w:pPr>
      <w:r>
        <w:rPr>
          <w:b/>
          <w:sz w:val="26"/>
          <w:szCs w:val="26"/>
        </w:rPr>
        <w:t>6. Synthesis: How the Challenges Compound</w:t>
      </w:r>
    </w:p>
    <w:p w14:paraId="04A60D37" w14:textId="77777777" w:rsidR="003E79DB" w:rsidRPr="003E79DB" w:rsidRDefault="003E79DB" w:rsidP="003E79DB">
      <w:pPr>
        <w:spacing w:before="120"/>
        <w:ind w:firstLine="244"/>
        <w:jc w:val="both"/>
        <w:rPr>
          <w:sz w:val="24"/>
          <w:szCs w:val="24"/>
          <w:lang w:val="en-GB"/>
        </w:rPr>
      </w:pPr>
      <w:r>
        <w:rPr>
          <w:sz w:val="24"/>
          <w:szCs w:val="24"/>
          <w:lang w:val="en-GB"/>
        </w:rPr>
        <w:t xml:space="preserve">Sections 2 to 5 examined linguistic structure, annotation practice, model capability and reliability measurement in turn, </w:t>
      </w:r>
      <w:r>
        <w:rPr>
          <w:sz w:val="24"/>
          <w:szCs w:val="24"/>
        </w:rPr>
        <w:t xml:space="preserve">which is how the studies reviewed here are </w:t>
      </w:r>
      <w:proofErr w:type="spellStart"/>
      <w:r>
        <w:rPr>
          <w:sz w:val="24"/>
          <w:szCs w:val="24"/>
        </w:rPr>
        <w:t>organised</w:t>
      </w:r>
      <w:proofErr w:type="spellEnd"/>
      <w:r>
        <w:rPr>
          <w:sz w:val="24"/>
          <w:szCs w:val="24"/>
          <w:lang w:val="en-GB"/>
        </w:rPr>
        <w:t>. Read separately they describe four difficulties. Read together they describe one sequence, in which each difficulty creates the conditions for the next and the sequence returns to its own starting point. Figure 1 sets it out. Establishing that this structure exists is the contribution this review claims, and the directions in the second half of this section are traced to points within it.</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w:t>
      </w:r>
      <w:r>
        <w:rPr>
          <w:sz w:val="24"/>
          <w:szCs w:val="24"/>
          <w:lang w:val="en-GB"/>
        </w:rPr>
        <w:lastRenderedPageBreak/>
        <w:t xml:space="preserve">one annotator reads </w:t>
      </w:r>
      <w:proofErr w:type="spellStart"/>
      <w:r>
        <w:rPr>
          <w:i/>
          <w:iCs/>
          <w:sz w:val="24"/>
          <w:szCs w:val="24"/>
          <w:lang w:val="en-GB"/>
        </w:rPr>
        <w:t>lah</w:t>
      </w:r>
      <w:proofErr w:type="spellEnd"/>
      <w:r>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505A9E43" w14:textId="77777777" w:rsidR="003E79DB" w:rsidRPr="003E79DB" w:rsidRDefault="003E79DB" w:rsidP="003E79DB">
      <w:pPr>
        <w:spacing w:before="120"/>
        <w:ind w:firstLine="244"/>
        <w:jc w:val="both"/>
        <w:rPr>
          <w:sz w:val="24"/>
          <w:szCs w:val="24"/>
          <w:lang w:val="en-GB"/>
        </w:rPr>
      </w:pPr>
      <w:r>
        <w:rPr>
          <w:sz w:val="24"/>
          <w:szCs w:val="24"/>
          <w:lang w:val="en-GB"/>
        </w:rPr>
        <w:t>The second link runs from systematic 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"eliminated the need to find speakers fluent in Malay and English to label the dataset". Automation on this material is therefore downstream of the linguistic difficulty rather than an independent methodological preference.</w:t>
      </w:r>
    </w:p>
    <w:p w14:paraId="3F765E56" w14:textId="77777777" w:rsidR="0005406F" w:rsidRPr="0005406F" w:rsidRDefault="0005406F" w:rsidP="0005406F">
      <w:pPr>
        <w:spacing w:before="120"/>
        <w:ind w:firstLine="244"/>
        <w:jc w:val="both"/>
        <w:rPr>
          <w:sz w:val="24"/>
          <w:szCs w:val="24"/>
          <w:lang w:val="en-GB"/>
        </w:rPr>
      </w:pPr>
      <w:r>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3B0DD598"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link runs from the shared limitation to extreme class skew. False neutrals accumulate rather than being corrected, and the corpus acquires a class distribution that no participant intended. </w:t>
      </w:r>
      <w:proofErr w:type="spellStart"/>
      <w:r>
        <w:rPr>
          <w:sz w:val="24"/>
          <w:szCs w:val="24"/>
          <w:lang w:val="en-GB"/>
        </w:rPr>
        <w:t>MESocSentiment</w:t>
      </w:r>
      <w:proofErr w:type="spellEnd"/>
      <w:r>
        <w:rPr>
          <w:sz w:val="24"/>
          <w:szCs w:val="24"/>
          <w:lang w:val="en-GB"/>
        </w:rPr>
        <w:t xml:space="preserve"> reaches 78.23% neutral. Posts on which the three analysers could not agree were removed, 512 of them, on the stated ground of retaining only "absolute categories". Those posts are not a random sample. They are the contested, heavily code-switched cases that the first link identifies as the source of the difficulty, and removing them raised both the neutral share and the measured agreement.</w:t>
      </w:r>
    </w:p>
    <w:p w14:paraId="1CC80595" w14:textId="77777777" w:rsidR="003E79DB" w:rsidRPr="003E79DB" w:rsidRDefault="00F304DE" w:rsidP="003E79DB">
      <w:pPr>
        <w:spacing w:before="120"/>
        <w:ind w:firstLine="244"/>
        <w:jc w:val="both"/>
        <w:rPr>
          <w:sz w:val="24"/>
          <w:szCs w:val="24"/>
          <w:lang w:val="en-GB"/>
        </w:rPr>
      </w:pPr>
      <w:r>
        <w:rPr>
          <w:sz w:val="24"/>
          <w:szCs w:val="24"/>
        </w:rPr>
        <w:t>The fifth link runs from extreme class skew to the difficulty of establishing reliability</w:t>
      </w:r>
      <w:r>
        <w:rPr>
          <w:sz w:val="24"/>
          <w:szCs w:val="24"/>
          <w:lang w:val="en-GB"/>
        </w:rPr>
        <w:t>,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 The defect and the inability to detect the defect have one cause. That is what separates an unresolved problem from a merely difficult one: here the quality check is least informative exactly where quality is lowest.</w:t>
      </w:r>
    </w:p>
    <w:p w14:paraId="408AE50B" w14:textId="77777777" w:rsidR="003E79DB" w:rsidRPr="003E79DB" w:rsidRDefault="003E79DB" w:rsidP="003E79DB">
      <w:pPr>
        <w:spacing w:before="120"/>
        <w:ind w:firstLine="244"/>
        <w:jc w:val="both"/>
        <w:rPr>
          <w:sz w:val="24"/>
          <w:szCs w:val="24"/>
          <w:lang w:val="en-GB"/>
        </w:rPr>
      </w:pPr>
      <w:r>
        <w:rPr>
          <w:sz w:val="24"/>
          <w:szCs w:val="24"/>
          <w:lang w:val="en-GB"/>
        </w:rPr>
        <w:t xml:space="preserve">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4 showed that a fine-tuned encoder resolves only the variation </w:t>
      </w:r>
      <w:r>
        <w:rPr>
          <w:sz w:val="24"/>
          <w:szCs w:val="24"/>
          <w:lang w:val="en-GB"/>
        </w:rPr>
        <w:lastRenderedPageBreak/>
        <w:t>it has been shown. The limitations of one generation of labels are transmitted to the instruments that produce the next, so the chain does not merely persist. It reproduces itself.</w:t>
      </w:r>
    </w:p>
    <w:p w14:paraId="2B81AE84" w14:textId="77777777" w:rsidR="003E79DB" w:rsidRPr="003E79DB" w:rsidRDefault="003E79DB" w:rsidP="003E79DB">
      <w:pPr>
        <w:spacing w:before="120"/>
        <w:ind w:firstLine="244"/>
        <w:jc w:val="both"/>
        <w:rPr>
          <w:sz w:val="24"/>
          <w:szCs w:val="24"/>
          <w:lang w:val="en-GB"/>
        </w:rPr>
      </w:pPr>
      <w:r>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2910B76D" w14:textId="77777777" w:rsidR="00E10A8D" w:rsidRPr="00E10A8D" w:rsidRDefault="00E10A8D" w:rsidP="00E10A8D">
      <w:pPr>
        <w:spacing w:before="120"/>
        <w:ind w:firstLine="244"/>
        <w:jc w:val="both"/>
        <w:rPr>
          <w:sz w:val="24"/>
          <w:szCs w:val="24"/>
          <w:lang w:val="en-GB"/>
        </w:rPr>
      </w:pPr>
      <w:r>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0159904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w:t>
      </w:r>
      <w:proofErr w:type="gramStart"/>
      <w:r>
        <w:rPr>
          <w:sz w:val="24"/>
          <w:szCs w:val="24"/>
          <w:lang w:val="en-GB"/>
        </w:rPr>
        <w:t>corpus built</w:t>
      </w:r>
      <w:proofErr w:type="gramEnd"/>
      <w:r>
        <w:rPr>
          <w:sz w:val="24"/>
          <w:szCs w:val="24"/>
          <w:lang w:val="en-GB"/>
        </w:rPr>
        <w:t xml:space="preserve"> hereafter can be shown to improve on the ones described here.</w:t>
      </w:r>
    </w:p>
    <w:p w14:paraId="6401297E" w14:textId="77777777" w:rsidR="003E79DB" w:rsidRPr="003E79DB" w:rsidRDefault="003E79DB" w:rsidP="003E79DB">
      <w:pPr>
        <w:spacing w:before="120"/>
        <w:ind w:firstLine="244"/>
        <w:jc w:val="both"/>
        <w:rPr>
          <w:sz w:val="24"/>
          <w:szCs w:val="24"/>
          <w:lang w:val="en-GB"/>
        </w:rPr>
      </w:pPr>
      <w:r>
        <w:rPr>
          <w:sz w:val="24"/>
          <w:szCs w:val="24"/>
          <w:lang w:val="en-GB"/>
        </w:rPr>
        <w:t>The second direction is a minimum reporting standard, and it follows from Table 3. A minimum set for any newly released corpus would comprise five elements: (1) the number of annotators and their stated qualification; (2) the availability of the annotation guideline; (3) the variant of the coefficient and the task it was computed for; (4) per-class rather than aggregate agreement; and (5) the full class distribution. Per-class agreement deserves particular emphasis, since an aggregate figure on a skewed corpus is dominated by the majority class and can conceal near-total disagreement on the minority polarities that matter most.</w:t>
      </w:r>
    </w:p>
    <w:p w14:paraId="1BA1B2F9" w14:textId="77777777" w:rsidR="003E79DB" w:rsidRPr="003E79DB" w:rsidRDefault="003E79DB" w:rsidP="003E79DB">
      <w:pPr>
        <w:spacing w:before="120"/>
        <w:ind w:firstLine="244"/>
        <w:jc w:val="both"/>
        <w:rPr>
          <w:sz w:val="24"/>
          <w:szCs w:val="24"/>
          <w:lang w:val="en-GB"/>
        </w:rPr>
      </w:pPr>
      <w:r>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proofErr w:type="spellStart"/>
      <w:r>
        <w:rPr>
          <w:i/>
          <w:iCs/>
          <w:sz w:val="24"/>
          <w:szCs w:val="24"/>
          <w:lang w:val="en-GB"/>
        </w:rPr>
        <w:t>lah</w:t>
      </w:r>
      <w:proofErr w:type="spellEnd"/>
      <w:r>
        <w:rPr>
          <w:sz w:val="24"/>
          <w:szCs w:val="24"/>
          <w:lang w:val="en-GB"/>
        </w:rPr>
        <w:t xml:space="preserve">, </w:t>
      </w:r>
      <w:proofErr w:type="spellStart"/>
      <w:r>
        <w:rPr>
          <w:i/>
          <w:iCs/>
          <w:sz w:val="24"/>
          <w:szCs w:val="24"/>
          <w:lang w:val="en-GB"/>
        </w:rPr>
        <w:t>kan</w:t>
      </w:r>
      <w:proofErr w:type="spellEnd"/>
      <w:r>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2.2 identified. Kong et al. (2023) adapt this scheme into a four-question guideline for Malaysian tweets. What is absent is not the design but its adaptation to Malaysian particles and its adoption across projects.</w:t>
      </w:r>
    </w:p>
    <w:p w14:paraId="255BC47D"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Pr>
          <w:sz w:val="24"/>
          <w:szCs w:val="24"/>
        </w:rPr>
        <w:lastRenderedPageBreak/>
        <w:t>Publishing that distribution would preserve the cases that current pipelines delete</w:t>
      </w:r>
      <w:r>
        <w:rPr>
          <w:sz w:val="24"/>
          <w:szCs w:val="24"/>
          <w:lang w:val="en-GB"/>
        </w:rPr>
        <w:t>.  It would also make the fourth link visible, since a corpus that reports what it discarded allows a reader to judge whether its reported reliability was earned or obtained by attrition.</w:t>
      </w:r>
    </w:p>
    <w:p w14:paraId="4C8DB492" w14:textId="77777777" w:rsidR="003E79DB" w:rsidRPr="003E79DB" w:rsidRDefault="003E79DB" w:rsidP="003E79DB">
      <w:pPr>
        <w:spacing w:before="120"/>
        <w:ind w:firstLine="244"/>
        <w:jc w:val="both"/>
        <w:rPr>
          <w:sz w:val="24"/>
          <w:szCs w:val="24"/>
          <w:lang w:val="en-GB"/>
        </w:rPr>
      </w:pPr>
      <w:r>
        <w:rPr>
          <w:sz w:val="24"/>
          <w:szCs w:val="24"/>
          <w:lang w:val="en-GB"/>
        </w:rPr>
        <w:t xml:space="preserve">The fifth direction is to test the independence premise, and it follows from the third link. Every consensus mechanism in this literature depends on </w:t>
      </w:r>
      <w:r>
        <w:rPr>
          <w:sz w:val="24"/>
          <w:szCs w:val="24"/>
        </w:rPr>
        <w:t>the premise that annotators of different architecture fail independently</w:t>
      </w:r>
      <w:r>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355119D" w14:textId="77777777" w:rsidR="00E10A8D" w:rsidRPr="00E10A8D" w:rsidRDefault="00E10A8D" w:rsidP="00E10A8D">
      <w:pPr>
        <w:spacing w:before="120"/>
        <w:jc w:val="both"/>
        <w:rPr>
          <w:sz w:val="24"/>
          <w:szCs w:val="24"/>
          <w:lang w:val="en-GB"/>
        </w:rPr>
      </w:pPr>
      <w:r>
        <w:rPr>
          <w:sz w:val="24"/>
          <w:szCs w:val="24"/>
          <w:lang w:val="en-GB"/>
        </w:rPr>
        <w:t>These are directions rather than results. The claim of this review is not that they will succeed, but that Figure 1 identifies where effort in this area is currently absorbed without accumulating.</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jc w:val="both"/>
        <w:rPr>
          <w:b/>
          <w:bCs/>
          <w:sz w:val="24"/>
          <w:szCs w:val="24"/>
          <w:lang w:val="en-GB"/>
        </w:rPr>
      </w:pPr>
      <w:r>
        <w:rPr>
          <w:b/>
          <w:bCs/>
          <w:sz w:val="24"/>
          <w:szCs w:val="24"/>
          <w:lang w:val="en-GB"/>
        </w:rPr>
        <w:t>7. Conclusion</w:t>
      </w:r>
    </w:p>
    <w:p w14:paraId="4EA909FA" w14:textId="77777777" w:rsidR="00643023" w:rsidRPr="00643023" w:rsidRDefault="00643023" w:rsidP="00643023">
      <w:pPr>
        <w:spacing w:before="120"/>
        <w:ind w:firstLine="244"/>
        <w:jc w:val="both"/>
        <w:rPr>
          <w:sz w:val="24"/>
          <w:szCs w:val="24"/>
          <w:lang w:val="en-GB"/>
        </w:rPr>
      </w:pPr>
      <w:r>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Pr>
          <w:sz w:val="24"/>
          <w:szCs w:val="24"/>
        </w:rPr>
        <w:t xml:space="preserve">originates </w:t>
      </w:r>
      <w:r>
        <w:rPr>
          <w:sz w:val="24"/>
          <w:szCs w:val="24"/>
          <w:lang w:val="en-GB"/>
        </w:rPr>
        <w:t xml:space="preserve">earlier, in the sentiment labels themselves </w:t>
      </w:r>
      <w:proofErr w:type="gramStart"/>
      <w:r>
        <w:rPr>
          <w:sz w:val="24"/>
          <w:szCs w:val="24"/>
          <w:lang w:val="en-GB"/>
        </w:rPr>
        <w:t>and in the evidence</w:t>
      </w:r>
      <w:proofErr w:type="gramEnd"/>
      <w:r>
        <w:rPr>
          <w:sz w:val="24"/>
          <w:szCs w:val="24"/>
          <w:lang w:val="en-GB"/>
        </w:rPr>
        <w:t xml:space="preserve"> offered that those labels are sound.</w:t>
      </w:r>
    </w:p>
    <w:p w14:paraId="45F08CF8" w14:textId="77777777" w:rsidR="0005406F" w:rsidRPr="0005406F" w:rsidRDefault="0005406F" w:rsidP="0005406F">
      <w:pPr>
        <w:spacing w:before="120"/>
        <w:ind w:firstLine="244"/>
        <w:jc w:val="both"/>
        <w:rPr>
          <w:sz w:val="24"/>
          <w:szCs w:val="24"/>
          <w:lang w:val="en-GB"/>
        </w:rPr>
      </w:pPr>
      <w:r>
        <w:rPr>
          <w:sz w:val="24"/>
          <w:szCs w:val="24"/>
          <w:lang w:val="en-GB"/>
        </w:rPr>
        <w:t xml:space="preserve">The contribution this review claims </w:t>
      </w:r>
      <w:proofErr w:type="gramStart"/>
      <w:r>
        <w:rPr>
          <w:sz w:val="24"/>
          <w:szCs w:val="24"/>
          <w:lang w:val="en-GB"/>
        </w:rPr>
        <w:t>is</w:t>
      </w:r>
      <w:proofErr w:type="gramEnd"/>
      <w:r>
        <w:rPr>
          <w:sz w:val="24"/>
          <w:szCs w:val="24"/>
          <w:lang w:val="en-GB"/>
        </w:rPr>
        <w:t xml:space="preserve"> not any of those findings taken alone but the relation between them. The linguistic properties of the text produce 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385CD512" w14:textId="77777777" w:rsidR="00643023" w:rsidRPr="00643023" w:rsidRDefault="00643023" w:rsidP="00643023">
      <w:pPr>
        <w:spacing w:before="120"/>
        <w:ind w:firstLine="244"/>
        <w:jc w:val="both"/>
        <w:rPr>
          <w:sz w:val="24"/>
          <w:szCs w:val="24"/>
          <w:lang w:val="en-GB"/>
        </w:rPr>
      </w:pPr>
      <w:r>
        <w:rPr>
          <w:sz w:val="24"/>
          <w:szCs w:val="24"/>
          <w:lang w:val="en-GB"/>
        </w:rPr>
        <w:t xml:space="preserve">The directions set out in Section 6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w:t>
      </w:r>
      <w:proofErr w:type="gramStart"/>
      <w:r>
        <w:rPr>
          <w:sz w:val="24"/>
          <w:szCs w:val="24"/>
          <w:lang w:val="en-GB"/>
        </w:rPr>
        <w:t>corpus built</w:t>
      </w:r>
      <w:proofErr w:type="gramEnd"/>
      <w:r>
        <w:rPr>
          <w:sz w:val="24"/>
          <w:szCs w:val="24"/>
          <w:lang w:val="en-GB"/>
        </w:rPr>
        <w:t xml:space="preserve"> hereafter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proofErr w:type="spellStart"/>
      <w:r>
        <w:rPr>
          <w:sz w:val="16"/>
          <w:szCs w:val="16"/>
        </w:rPr>
        <w:lastRenderedPageBreak/>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2153C3B5"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proofErr w:type="spellStart"/>
      <w:r>
        <w:rPr>
          <w:sz w:val="16"/>
          <w:szCs w:val="16"/>
        </w:rPr>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proofErr w:type="spellStart"/>
      <w:r>
        <w:rPr>
          <w:sz w:val="16"/>
          <w:szCs w:val="16"/>
        </w:rPr>
        <w:t>Manukonda</w:t>
      </w:r>
      <w:proofErr w:type="spellEnd"/>
      <w:r>
        <w:rPr>
          <w:sz w:val="16"/>
          <w:szCs w:val="16"/>
        </w:rPr>
        <w:t xml:space="preserve">, D. P., and Kodali, R. G. (2025). </w:t>
      </w:r>
      <w:proofErr w:type="spellStart"/>
      <w:r>
        <w:rPr>
          <w:sz w:val="16"/>
          <w:szCs w:val="16"/>
        </w:rPr>
        <w:t>byteSizedLLM@DravidianLangTech</w:t>
      </w:r>
      <w:proofErr w:type="spellEnd"/>
      <w:r>
        <w:rPr>
          <w:sz w:val="16"/>
          <w:szCs w:val="16"/>
        </w:rPr>
        <w:t xml:space="preserve"> 2025: Fake news detection in Dravidian languages using transliteration-aware XLM-</w:t>
      </w:r>
      <w:proofErr w:type="spellStart"/>
      <w:r>
        <w:rPr>
          <w:sz w:val="16"/>
          <w:szCs w:val="16"/>
        </w:rPr>
        <w:t>RoBERTa</w:t>
      </w:r>
      <w:proofErr w:type="spellEnd"/>
      <w:r>
        <w:rPr>
          <w:sz w:val="16"/>
          <w:szCs w:val="16"/>
        </w:rPr>
        <w:t xml:space="preserve">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lastRenderedPageBreak/>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proofErr w:type="spellStart"/>
      <w:r>
        <w:rPr>
          <w:sz w:val="16"/>
          <w:szCs w:val="16"/>
        </w:rPr>
        <w:t>Muysken</w:t>
      </w:r>
      <w:proofErr w:type="spellEnd"/>
      <w:r>
        <w:rPr>
          <w:sz w:val="16"/>
          <w:szCs w:val="16"/>
        </w:rPr>
        <w:t>,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proofErr w:type="spellStart"/>
      <w:r>
        <w:rPr>
          <w:sz w:val="16"/>
          <w:szCs w:val="16"/>
        </w:rPr>
        <w:t>Pontiki</w:t>
      </w:r>
      <w:proofErr w:type="spellEnd"/>
      <w:r>
        <w:rPr>
          <w:sz w:val="16"/>
          <w:szCs w:val="16"/>
        </w:rPr>
        <w:t xml:space="preserve">, M., Galanis, D., Papageorgiou, H., </w:t>
      </w:r>
      <w:proofErr w:type="spellStart"/>
      <w:r>
        <w:rPr>
          <w:sz w:val="16"/>
          <w:szCs w:val="16"/>
        </w:rPr>
        <w:t>Androutsopoulos</w:t>
      </w:r>
      <w:proofErr w:type="spellEnd"/>
      <w:r>
        <w:rPr>
          <w:sz w:val="16"/>
          <w:szCs w:val="16"/>
        </w:rPr>
        <w:t xml:space="preserve">, I., Manandhar, S., AL-Smadi, M., Al-Ayyoub, M., Zhao, Y., Qin, B., De Clercq, O., Hoste, V., Apidianaki, M., </w:t>
      </w:r>
      <w:proofErr w:type="spellStart"/>
      <w:r>
        <w:rPr>
          <w:sz w:val="16"/>
          <w:szCs w:val="16"/>
        </w:rPr>
        <w:t>Tannier</w:t>
      </w:r>
      <w:proofErr w:type="spellEnd"/>
      <w:r>
        <w:rPr>
          <w:sz w:val="16"/>
          <w:szCs w:val="16"/>
        </w:rPr>
        <w:t xml:space="preserve">, X., </w:t>
      </w:r>
      <w:proofErr w:type="spellStart"/>
      <w:r>
        <w:rPr>
          <w:sz w:val="16"/>
          <w:szCs w:val="16"/>
        </w:rPr>
        <w:t>Loukachevitch</w:t>
      </w:r>
      <w:proofErr w:type="spellEnd"/>
      <w:r>
        <w:rPr>
          <w:sz w:val="16"/>
          <w:szCs w:val="16"/>
        </w:rPr>
        <w:t>,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3B3AC5F4"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55D3" w14:textId="77777777" w:rsidR="00D978A6" w:rsidRPr="006546A0" w:rsidRDefault="00D978A6">
      <w:r w:rsidRPr="006546A0">
        <w:separator/>
      </w:r>
    </w:p>
  </w:endnote>
  <w:endnote w:type="continuationSeparator" w:id="0">
    <w:p w14:paraId="06B016EF" w14:textId="77777777" w:rsidR="00D978A6" w:rsidRPr="006546A0" w:rsidRDefault="00D978A6">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7633" w14:textId="77777777" w:rsidR="00D978A6" w:rsidRPr="006546A0" w:rsidRDefault="00D978A6">
      <w:r w:rsidRPr="006546A0">
        <w:separator/>
      </w:r>
    </w:p>
  </w:footnote>
  <w:footnote w:type="continuationSeparator" w:id="0">
    <w:p w14:paraId="5B7FC1B7" w14:textId="77777777" w:rsidR="00D978A6" w:rsidRPr="006546A0" w:rsidRDefault="00D978A6">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13DB4"/>
    <w:rsid w:val="00A623CE"/>
    <w:rsid w:val="00A76001"/>
    <w:rsid w:val="00A85005"/>
    <w:rsid w:val="00AA566D"/>
    <w:rsid w:val="00AC2D40"/>
    <w:rsid w:val="00B14C4D"/>
    <w:rsid w:val="00B2442A"/>
    <w:rsid w:val="00B30939"/>
    <w:rsid w:val="00BB7406"/>
    <w:rsid w:val="00BC422E"/>
    <w:rsid w:val="00BD1B9B"/>
    <w:rsid w:val="00C02274"/>
    <w:rsid w:val="00C127AD"/>
    <w:rsid w:val="00C632CC"/>
    <w:rsid w:val="00C67F7D"/>
    <w:rsid w:val="00CA6BDB"/>
    <w:rsid w:val="00CB1F44"/>
    <w:rsid w:val="00CC05FA"/>
    <w:rsid w:val="00CE6FEC"/>
    <w:rsid w:val="00D173B2"/>
    <w:rsid w:val="00D20E38"/>
    <w:rsid w:val="00D714BA"/>
    <w:rsid w:val="00D978A6"/>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21</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81</cp:revision>
  <cp:lastPrinted>2026-09-08T04:21:00Z</cp:lastPrinted>
  <dcterms:created xsi:type="dcterms:W3CDTF">2026-07-02T08:05:00Z</dcterms:created>
  <dcterms:modified xsi:type="dcterms:W3CDTF">2026-09-08T04:22:00Z</dcterms:modified>
</cp:coreProperties>
</file>