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D5EE" w14:textId="77777777" w:rsidR="00EE11D5" w:rsidRPr="006546A0" w:rsidRDefault="00EE11D5">
      <w:pPr>
        <w:widowControl w:val="0"/>
        <w:pBdr>
          <w:top w:val="nil"/>
          <w:left w:val="nil"/>
          <w:bottom w:val="nil"/>
          <w:right w:val="nil"/>
          <w:between w:val="nil"/>
        </w:pBdr>
        <w:spacing w:line="276" w:lineRule="auto"/>
      </w:pPr>
    </w:p>
    <w:p w14:paraId="4E16F7CF"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049A699B" w14:textId="77777777">
        <w:tc>
          <w:tcPr>
            <w:tcW w:w="6408" w:type="dxa"/>
          </w:tcPr>
          <w:p w14:paraId="622D8CB3" w14:textId="77777777" w:rsidR="003079CD" w:rsidRPr="006546A0" w:rsidRDefault="003079CD" w:rsidP="003079CD">
            <w:pPr>
              <w:pStyle w:val="Heading1"/>
              <w:tabs>
                <w:tab w:val="left" w:pos="24"/>
              </w:tabs>
            </w:pPr>
            <w:r>
              <w:t>Reliable Annotation and Evaluation of Malaysian Malay-English Code-Mixed Sentiment Data: A Critical Review of an Unresolved Problem</w:t>
            </w:r>
          </w:p>
          <w:p w14:paraId="087B9A54" w14:textId="77777777" w:rsidR="00EE11D5" w:rsidRPr="006546A0" w:rsidRDefault="00EE11D5" w:rsidP="003079CD">
            <w:pPr>
              <w:tabs>
                <w:tab w:val="left" w:pos="24"/>
              </w:tabs>
              <w:rPr>
                <w:sz w:val="24"/>
                <w:szCs w:val="24"/>
              </w:rPr>
            </w:pPr>
          </w:p>
          <w:p w14:paraId="08DC4031" w14:textId="77777777" w:rsidR="00EE11D5" w:rsidRPr="006546A0" w:rsidRDefault="00EE11D5">
            <w:pPr>
              <w:tabs>
                <w:tab w:val="left" w:pos="24"/>
              </w:tabs>
              <w:jc w:val="center"/>
              <w:rPr>
                <w:sz w:val="24"/>
                <w:szCs w:val="24"/>
              </w:rPr>
            </w:pPr>
          </w:p>
          <w:p w14:paraId="049749B5" w14:textId="77777777" w:rsidR="00EE11D5" w:rsidRPr="006546A0" w:rsidRDefault="00000000">
            <w:pPr>
              <w:tabs>
                <w:tab w:val="left" w:pos="24"/>
              </w:tabs>
              <w:jc w:val="center"/>
              <w:rPr>
                <w:sz w:val="24"/>
                <w:szCs w:val="24"/>
              </w:rPr>
            </w:pPr>
            <w:r>
              <w:rPr>
                <w:sz w:val="24"/>
                <w:szCs w:val="24"/>
              </w:rPr>
              <w:t>Author(s) Name(s)</w:t>
            </w:r>
          </w:p>
          <w:p w14:paraId="3AF3572E" w14:textId="77777777" w:rsidR="00EE11D5" w:rsidRPr="006546A0" w:rsidRDefault="00000000">
            <w:pPr>
              <w:tabs>
                <w:tab w:val="left" w:pos="24"/>
              </w:tabs>
              <w:spacing w:before="120"/>
              <w:jc w:val="center"/>
              <w:rPr>
                <w:i/>
                <w:sz w:val="24"/>
                <w:szCs w:val="24"/>
              </w:rPr>
            </w:pPr>
            <w:r>
              <w:rPr>
                <w:i/>
                <w:sz w:val="24"/>
                <w:szCs w:val="24"/>
              </w:rPr>
              <w:t>Author Affiliation(s)</w:t>
            </w:r>
          </w:p>
          <w:p w14:paraId="246462EB" w14:textId="77777777" w:rsidR="00EE11D5" w:rsidRPr="006546A0" w:rsidRDefault="00000000">
            <w:pPr>
              <w:tabs>
                <w:tab w:val="left" w:pos="24"/>
              </w:tabs>
              <w:jc w:val="center"/>
              <w:rPr>
                <w:i/>
                <w:sz w:val="24"/>
                <w:szCs w:val="24"/>
              </w:rPr>
            </w:pPr>
            <w:r>
              <w:rPr>
                <w:i/>
                <w:sz w:val="24"/>
                <w:szCs w:val="24"/>
              </w:rPr>
              <w:t>E-mail</w:t>
            </w:r>
          </w:p>
          <w:p w14:paraId="3A3397BB" w14:textId="77777777" w:rsidR="00EE11D5" w:rsidRPr="006546A0" w:rsidRDefault="00EE11D5">
            <w:pPr>
              <w:pStyle w:val="Heading1"/>
              <w:tabs>
                <w:tab w:val="left" w:pos="24"/>
              </w:tabs>
            </w:pPr>
          </w:p>
        </w:tc>
        <w:tc>
          <w:tcPr>
            <w:tcW w:w="1800" w:type="dxa"/>
          </w:tcPr>
          <w:p w14:paraId="6850A9E9" w14:textId="77777777" w:rsidR="00EE11D5" w:rsidRPr="006546A0" w:rsidRDefault="00000000">
            <w:pPr>
              <w:pStyle w:val="Heading1"/>
              <w:tabs>
                <w:tab w:val="left" w:pos="24"/>
              </w:tabs>
              <w:jc w:val="left"/>
              <w:rPr>
                <w:sz w:val="20"/>
              </w:rPr>
            </w:pPr>
            <w:r>
              <w:rPr>
                <w:sz w:val="20"/>
              </w:rPr>
              <w:t>Article history</w:t>
            </w:r>
          </w:p>
          <w:p w14:paraId="79934CB2" w14:textId="77777777" w:rsidR="00EE11D5" w:rsidRPr="006546A0" w:rsidRDefault="00EE11D5">
            <w:pPr>
              <w:pStyle w:val="Heading1"/>
              <w:tabs>
                <w:tab w:val="left" w:pos="24"/>
              </w:tabs>
              <w:rPr>
                <w:b w:val="0"/>
                <w:sz w:val="20"/>
              </w:rPr>
            </w:pPr>
          </w:p>
          <w:p w14:paraId="22F24EF0"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44CB13D8" w14:textId="77777777" w:rsidR="00EE11D5" w:rsidRPr="006546A0" w:rsidRDefault="00000000">
            <w:pPr>
              <w:pStyle w:val="Heading1"/>
              <w:tabs>
                <w:tab w:val="left" w:pos="24"/>
              </w:tabs>
              <w:jc w:val="left"/>
              <w:rPr>
                <w:b w:val="0"/>
                <w:sz w:val="18"/>
                <w:szCs w:val="18"/>
              </w:rPr>
            </w:pPr>
            <w:r>
              <w:rPr>
                <w:b w:val="0"/>
                <w:sz w:val="18"/>
                <w:szCs w:val="18"/>
              </w:rPr>
              <w:t>xx xxx 2023</w:t>
            </w:r>
          </w:p>
          <w:p w14:paraId="3DC52A53" w14:textId="77777777" w:rsidR="00EE11D5" w:rsidRPr="006546A0" w:rsidRDefault="00EE11D5"/>
          <w:p w14:paraId="4FF5785C"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71742D5" w14:textId="77777777" w:rsidR="00EE11D5" w:rsidRPr="006546A0" w:rsidRDefault="00000000">
            <w:pPr>
              <w:pStyle w:val="Heading1"/>
              <w:tabs>
                <w:tab w:val="left" w:pos="24"/>
              </w:tabs>
              <w:jc w:val="left"/>
              <w:rPr>
                <w:b w:val="0"/>
                <w:sz w:val="18"/>
                <w:szCs w:val="18"/>
              </w:rPr>
            </w:pPr>
            <w:r>
              <w:rPr>
                <w:b w:val="0"/>
                <w:sz w:val="18"/>
                <w:szCs w:val="18"/>
              </w:rPr>
              <w:t>xx xxx 2023</w:t>
            </w:r>
          </w:p>
          <w:p w14:paraId="726B9DF2" w14:textId="77777777" w:rsidR="00EE11D5" w:rsidRPr="006546A0" w:rsidRDefault="00EE11D5"/>
          <w:p w14:paraId="25975270" w14:textId="77777777" w:rsidR="00EE11D5" w:rsidRPr="006546A0" w:rsidRDefault="00000000">
            <w:pPr>
              <w:pStyle w:val="Heading1"/>
              <w:tabs>
                <w:tab w:val="left" w:pos="24"/>
              </w:tabs>
              <w:jc w:val="left"/>
              <w:rPr>
                <w:b w:val="0"/>
                <w:sz w:val="18"/>
                <w:szCs w:val="18"/>
              </w:rPr>
            </w:pPr>
            <w:r>
              <w:rPr>
                <w:b w:val="0"/>
                <w:sz w:val="18"/>
                <w:szCs w:val="18"/>
              </w:rPr>
              <w:t>Accepted:</w:t>
            </w:r>
          </w:p>
          <w:p w14:paraId="3942608A" w14:textId="77777777" w:rsidR="00EE11D5" w:rsidRPr="006546A0" w:rsidRDefault="00000000">
            <w:pPr>
              <w:pStyle w:val="Heading1"/>
              <w:tabs>
                <w:tab w:val="left" w:pos="24"/>
              </w:tabs>
              <w:jc w:val="left"/>
              <w:rPr>
                <w:b w:val="0"/>
                <w:sz w:val="18"/>
                <w:szCs w:val="18"/>
              </w:rPr>
            </w:pPr>
            <w:r>
              <w:rPr>
                <w:b w:val="0"/>
                <w:sz w:val="18"/>
                <w:szCs w:val="18"/>
              </w:rPr>
              <w:t>xx xxx 2023</w:t>
            </w:r>
          </w:p>
          <w:p w14:paraId="427E5D68" w14:textId="77777777" w:rsidR="00EE11D5" w:rsidRPr="006546A0" w:rsidRDefault="00EE11D5"/>
          <w:p w14:paraId="04D23F5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10D5B1CC" w14:textId="77777777" w:rsidR="00EE11D5" w:rsidRPr="006546A0" w:rsidRDefault="00000000">
            <w:pPr>
              <w:pStyle w:val="Heading1"/>
              <w:tabs>
                <w:tab w:val="left" w:pos="24"/>
              </w:tabs>
              <w:jc w:val="left"/>
              <w:rPr>
                <w:b w:val="0"/>
                <w:sz w:val="18"/>
                <w:szCs w:val="18"/>
              </w:rPr>
            </w:pPr>
            <w:r>
              <w:rPr>
                <w:b w:val="0"/>
                <w:sz w:val="18"/>
                <w:szCs w:val="18"/>
              </w:rPr>
              <w:t>xx xxx 2023</w:t>
            </w:r>
          </w:p>
          <w:p w14:paraId="71129EDF" w14:textId="77777777" w:rsidR="00EE11D5" w:rsidRPr="006546A0" w:rsidRDefault="00EE11D5">
            <w:pPr>
              <w:pStyle w:val="Heading1"/>
              <w:tabs>
                <w:tab w:val="left" w:pos="24"/>
              </w:tabs>
              <w:jc w:val="left"/>
              <w:rPr>
                <w:b w:val="0"/>
                <w:sz w:val="18"/>
                <w:szCs w:val="18"/>
              </w:rPr>
            </w:pPr>
          </w:p>
          <w:p w14:paraId="7265C0F4"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44A838DE" w14:textId="77777777" w:rsidR="00EE11D5" w:rsidRPr="006546A0" w:rsidRDefault="00000000">
            <w:pPr>
              <w:pStyle w:val="Heading1"/>
              <w:tabs>
                <w:tab w:val="left" w:pos="24"/>
              </w:tabs>
              <w:jc w:val="left"/>
              <w:rPr>
                <w:b w:val="0"/>
                <w:sz w:val="20"/>
              </w:rPr>
            </w:pPr>
            <w:proofErr w:type="spellStart"/>
            <w:r>
              <w:rPr>
                <w:b w:val="0"/>
                <w:sz w:val="18"/>
                <w:szCs w:val="18"/>
              </w:rPr>
              <w:t>xyz</w:t>
            </w:r>
            <w:proofErr w:type="spellEnd"/>
            <w:r>
              <w:rPr>
                <w:b w:val="0"/>
                <w:sz w:val="18"/>
                <w:szCs w:val="18"/>
              </w:rPr>
              <w:t xml:space="preserve"> @utm.my</w:t>
            </w:r>
          </w:p>
        </w:tc>
      </w:tr>
    </w:tbl>
    <w:p w14:paraId="32D20154" w14:textId="77777777" w:rsidR="00EE11D5" w:rsidRPr="006546A0" w:rsidRDefault="00000000">
      <w:pPr>
        <w:pStyle w:val="Heading1"/>
        <w:tabs>
          <w:tab w:val="left" w:pos="24"/>
        </w:tabs>
        <w:spacing w:before="240" w:after="120"/>
        <w:rPr>
          <w:i/>
          <w:sz w:val="20"/>
        </w:rPr>
      </w:pPr>
      <w:r>
        <w:rPr>
          <w:i/>
          <w:sz w:val="20"/>
        </w:rPr>
        <w:t>Abstract</w:t>
      </w:r>
    </w:p>
    <w:p w14:paraId="3D89B8D3" w14:textId="77777777" w:rsidR="00700E7B" w:rsidRPr="00700E7B" w:rsidRDefault="00700E7B" w:rsidP="00700E7B">
      <w:pPr>
        <w:spacing w:before="160"/>
        <w:ind w:firstLine="244"/>
        <w:jc w:val="both"/>
        <w:rPr>
          <w:i/>
          <w:iCs/>
          <w:lang w:val="en-GB"/>
        </w:rPr>
      </w:pPr>
      <w:r>
        <w:rPr>
          <w:i/>
          <w:iCs/>
          <w:lang w:val="en-GB"/>
        </w:rPr>
        <w:t>Malaysian social media users mix English and Malay inside single messages, producing the contact variety known locally as Manglish. The studies reviewed here usually treat sentiment analysis of Malay-English mixed writing as a modelling problem. This review indicates that the more limiting constraint is earlier in the process, in the quality of the sentiment labels and in the evidence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the trade-off between label fidelity and scalability is examined across them. Second, two sources of neutral-label skew are separated, one produced by the labelling tools and the other by genuine uncertainty among annotators. The four Malay-English sentiment resources are then examined against what a reliability claim requires, and none supplies it. Third, the class imbalance in the label distribution is shown to be the condition that makes Cohen's kappa more difficult to interpret. The review closes with a research agenda covering minimum reporting standards, agreement measurement under class imbalance, a shared annotation convention for affect-bearing particles, and the untested assumption that annotators of different types make different errors.</w:t>
      </w:r>
    </w:p>
    <w:p w14:paraId="6784512A" w14:textId="668E8E80"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 xml:space="preserve">sentiment analysis, code-mixed text, </w:t>
      </w:r>
      <w:r w:rsidR="00D173B2">
        <w:rPr>
          <w:i/>
          <w:color w:val="000000" w:themeColor="text1"/>
        </w:rPr>
        <w:t>Manglish</w:t>
      </w:r>
      <w:r>
        <w:rPr>
          <w:i/>
          <w:color w:val="000000" w:themeColor="text1"/>
        </w:rPr>
        <w:t>, annotation reliability, inter-annotator agreement</w:t>
      </w:r>
    </w:p>
    <w:p w14:paraId="5A2AA248" w14:textId="77777777" w:rsidR="00EE11D5" w:rsidRPr="006546A0" w:rsidRDefault="00EE11D5">
      <w:pPr>
        <w:tabs>
          <w:tab w:val="left" w:pos="24"/>
        </w:tabs>
        <w:jc w:val="both"/>
        <w:rPr>
          <w:sz w:val="24"/>
          <w:szCs w:val="24"/>
        </w:rPr>
      </w:pPr>
    </w:p>
    <w:p w14:paraId="30A07ED2" w14:textId="77777777" w:rsidR="00EE11D5" w:rsidRPr="006546A0" w:rsidRDefault="00000000" w:rsidP="00C127AD">
      <w:pPr>
        <w:keepNext/>
        <w:rPr>
          <w:b/>
          <w:sz w:val="26"/>
          <w:szCs w:val="26"/>
        </w:rPr>
      </w:pPr>
      <w:r>
        <w:rPr>
          <w:b/>
          <w:sz w:val="26"/>
          <w:szCs w:val="26"/>
        </w:rPr>
        <w:t>1. Introduction</w:t>
      </w:r>
    </w:p>
    <w:p w14:paraId="182E0FE4" w14:textId="6662325B" w:rsidR="00754684" w:rsidRDefault="00000000">
      <w:pPr>
        <w:spacing w:before="120"/>
        <w:ind w:firstLine="244"/>
        <w:jc w:val="both"/>
        <w:rPr>
          <w:sz w:val="24"/>
          <w:szCs w:val="24"/>
          <w:lang w:val="en-GB"/>
        </w:rPr>
      </w:pPr>
      <w:r>
        <w:rPr>
          <w:sz w:val="24"/>
          <w:szCs w:val="24"/>
          <w:lang w:val="en-GB"/>
        </w:rPr>
        <w:t xml:space="preserve">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the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w:t>
      </w:r>
      <w:r>
        <w:rPr>
          <w:sz w:val="24"/>
          <w:szCs w:val="24"/>
          <w:lang w:val="en-GB"/>
        </w:rPr>
        <w:lastRenderedPageBreak/>
        <w:t xml:space="preserve">conditions for which they were designed. </w:t>
      </w:r>
      <w:proofErr w:type="spellStart"/>
      <w:r>
        <w:rPr>
          <w:sz w:val="24"/>
          <w:szCs w:val="24"/>
          <w:lang w:val="en-GB"/>
        </w:rPr>
        <w:t>Doğruöz</w:t>
      </w:r>
      <w:proofErr w:type="spellEnd"/>
      <w:r>
        <w:rPr>
          <w:sz w:val="24"/>
          <w:szCs w:val="24"/>
          <w:lang w:val="en-GB"/>
        </w:rPr>
        <w:t xml:space="preserve"> et al. (2021) call this alternation code-switching, and report that its effect on model performance varies by task. In 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w:t>
      </w:r>
      <w:proofErr w:type="spellStart"/>
      <w:r>
        <w:rPr>
          <w:sz w:val="24"/>
          <w:szCs w:val="24"/>
          <w:lang w:val="en-GB"/>
        </w:rPr>
        <w:t>AlAfnan</w:t>
      </w:r>
      <w:proofErr w:type="spellEnd"/>
      <w:r>
        <w:rPr>
          <w:sz w:val="24"/>
          <w:szCs w:val="24"/>
          <w:lang w:val="en-GB"/>
        </w:rPr>
        <w:t xml:space="preserve"> et al., 2025).</w:t>
      </w:r>
    </w:p>
    <w:p w14:paraId="3A2449E3" w14:textId="42FEE49B"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w:t>
      </w:r>
      <w:proofErr w:type="spellStart"/>
      <w:r>
        <w:rPr>
          <w:sz w:val="24"/>
          <w:szCs w:val="24"/>
          <w:lang w:val="en-GB"/>
        </w:rPr>
        <w:t>Ethnologue</w:t>
      </w:r>
      <w:proofErr w:type="spellEnd"/>
      <w:r>
        <w:rPr>
          <w:sz w:val="24"/>
          <w:szCs w:val="24"/>
          <w:lang w:val="en-GB"/>
        </w:rPr>
        <w:t xml:space="preserve"> figures, Coluzzi (2017) records around 140 languages in use in the country, and reports that code-mixing between a speaker's first languages and English or Malay is widespread in everyday communication. </w:t>
      </w:r>
      <w:proofErr w:type="spellStart"/>
      <w:r>
        <w:rPr>
          <w:sz w:val="24"/>
          <w:szCs w:val="24"/>
          <w:lang w:val="en-GB"/>
        </w:rPr>
        <w:t>AlAfnan</w:t>
      </w:r>
      <w:proofErr w:type="spellEnd"/>
      <w:r>
        <w:rPr>
          <w:sz w:val="24"/>
          <w:szCs w:val="24"/>
          <w:lang w:val="en-GB"/>
        </w:rPr>
        <w:t xml:space="preserve"> et al. (2025) report that English and Malay are among the languages most frequently combined in Malaysian written communication. The same study describes social media users alternating between the two </w:t>
      </w:r>
      <w:r w:rsidR="00247B5D">
        <w:rPr>
          <w:sz w:val="24"/>
          <w:szCs w:val="24"/>
          <w:lang w:val="en-GB"/>
        </w:rPr>
        <w:t xml:space="preserve">languages </w:t>
      </w:r>
      <w:r>
        <w:rPr>
          <w:sz w:val="24"/>
          <w:szCs w:val="24"/>
          <w:lang w:val="en-GB"/>
        </w:rPr>
        <w:t xml:space="preserve">within a single message rather than writing in one language at a time. Two local terms are used for this code-mixed writing, and they refer to different combinations of languages. </w:t>
      </w:r>
      <w:proofErr w:type="spellStart"/>
      <w:r>
        <w:rPr>
          <w:sz w:val="24"/>
          <w:szCs w:val="24"/>
          <w:lang w:val="en-GB"/>
        </w:rPr>
        <w:t>AlAfnan</w:t>
      </w:r>
      <w:proofErr w:type="spellEnd"/>
      <w:r>
        <w:rPr>
          <w:sz w:val="24"/>
          <w:szCs w:val="24"/>
          <w:lang w:val="en-GB"/>
        </w:rPr>
        <w:t xml:space="preserve"> et al. (2025) describe </w:t>
      </w:r>
      <w:r>
        <w:rPr>
          <w:i/>
          <w:iCs/>
          <w:sz w:val="24"/>
          <w:szCs w:val="24"/>
          <w:lang w:val="en-GB"/>
        </w:rPr>
        <w:t>Manglish</w:t>
      </w:r>
      <w:r>
        <w:rPr>
          <w:sz w:val="24"/>
          <w:szCs w:val="24"/>
          <w:lang w:val="en-GB"/>
        </w:rPr>
        <w:t xml:space="preserve"> as a hybrid form that combines Malay and English, whereas </w:t>
      </w:r>
      <w:proofErr w:type="spellStart"/>
      <w:r>
        <w:rPr>
          <w:sz w:val="24"/>
          <w:szCs w:val="24"/>
          <w:lang w:val="en-GB"/>
        </w:rPr>
        <w:t>Romadhona</w:t>
      </w:r>
      <w:proofErr w:type="spellEnd"/>
      <w:r>
        <w:rPr>
          <w:sz w:val="24"/>
          <w:szCs w:val="24"/>
          <w:lang w:val="en-GB"/>
        </w:rPr>
        <w:t xml:space="preserve"> et al. (2022) describe </w:t>
      </w:r>
      <w:r>
        <w:rPr>
          <w:i/>
          <w:iCs/>
          <w:sz w:val="24"/>
          <w:szCs w:val="24"/>
          <w:lang w:val="en-GB"/>
        </w:rPr>
        <w:t>Bahasa Rojak</w:t>
      </w:r>
      <w:r>
        <w:rPr>
          <w:sz w:val="24"/>
          <w:szCs w:val="24"/>
          <w:lang w:val="en-GB"/>
        </w:rPr>
        <w:t xml:space="preserve"> as a variety that combines English, Malay and Chinese. This review is concerned with Malay</w:t>
      </w:r>
      <w:r w:rsidR="00247B5D">
        <w:rPr>
          <w:sz w:val="24"/>
          <w:szCs w:val="24"/>
          <w:lang w:val="en-GB"/>
        </w:rPr>
        <w:t>-</w:t>
      </w:r>
      <w:r>
        <w:rPr>
          <w:sz w:val="24"/>
          <w:szCs w:val="24"/>
          <w:lang w:val="en-GB"/>
        </w:rPr>
        <w:t xml:space="preserve">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1D335BD0" w14:textId="4966E11C"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w:t>
      </w:r>
      <w:proofErr w:type="spellStart"/>
      <w:r>
        <w:rPr>
          <w:sz w:val="24"/>
          <w:szCs w:val="24"/>
          <w:lang w:val="en-GB"/>
        </w:rPr>
        <w:t>AlAfnan</w:t>
      </w:r>
      <w:proofErr w:type="spellEnd"/>
      <w:r>
        <w:rPr>
          <w:sz w:val="24"/>
          <w:szCs w:val="24"/>
          <w:lang w:val="en-GB"/>
        </w:rPr>
        <w:t xml:space="preserve">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w:t>
      </w:r>
      <w:r w:rsidR="00920A5C">
        <w:rPr>
          <w:sz w:val="24"/>
          <w:szCs w:val="24"/>
          <w:lang w:val="en-GB"/>
        </w:rPr>
        <w:t xml:space="preserve">is </w:t>
      </w:r>
      <w:r>
        <w:rPr>
          <w:sz w:val="24"/>
          <w:szCs w:val="24"/>
          <w:lang w:val="en-GB"/>
        </w:rPr>
        <w:t xml:space="preserve">systematic rather than random. </w:t>
      </w:r>
      <w:proofErr w:type="spellStart"/>
      <w:r>
        <w:rPr>
          <w:sz w:val="24"/>
          <w:szCs w:val="24"/>
          <w:lang w:val="en-GB"/>
        </w:rPr>
        <w:t>Treffers</w:t>
      </w:r>
      <w:proofErr w:type="spellEnd"/>
      <w:r>
        <w:rPr>
          <w:sz w:val="24"/>
          <w:szCs w:val="24"/>
          <w:lang w:val="en-GB"/>
        </w:rPr>
        <w:t xml:space="preserve">-Daller et al. (2022) analyse the classroom speech of two Malaysian teachers of English and find that Malay-English switching there follows describable syntactic patterns. </w:t>
      </w:r>
      <w:proofErr w:type="spellStart"/>
      <w:r>
        <w:rPr>
          <w:sz w:val="24"/>
          <w:szCs w:val="24"/>
          <w:lang w:val="en-GB"/>
        </w:rPr>
        <w:t>AlAfnan</w:t>
      </w:r>
      <w:proofErr w:type="spellEnd"/>
      <w:r>
        <w:rPr>
          <w:sz w:val="24"/>
          <w:szCs w:val="24"/>
          <w:lang w:val="en-GB"/>
        </w:rPr>
        <w:t xml:space="preserve">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565605F0"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w:t>
      </w:r>
      <w:proofErr w:type="spellStart"/>
      <w:r>
        <w:rPr>
          <w:sz w:val="24"/>
          <w:szCs w:val="24"/>
          <w:lang w:val="en-GB"/>
        </w:rPr>
        <w:t>Maskat</w:t>
      </w:r>
      <w:proofErr w:type="spellEnd"/>
      <w:r>
        <w:rPr>
          <w:sz w:val="24"/>
          <w:szCs w:val="24"/>
          <w:lang w:val="en-GB"/>
        </w:rPr>
        <w:t xml:space="preserve"> and Rahman (2020) document the Malay negator </w:t>
      </w:r>
      <w:proofErr w:type="spellStart"/>
      <w:r>
        <w:rPr>
          <w:i/>
          <w:iCs/>
          <w:sz w:val="24"/>
          <w:szCs w:val="24"/>
          <w:lang w:val="en-GB"/>
        </w:rPr>
        <w:t>tidak</w:t>
      </w:r>
      <w:proofErr w:type="spellEnd"/>
      <w:r>
        <w:rPr>
          <w:sz w:val="24"/>
          <w:szCs w:val="24"/>
          <w:lang w:val="en-GB"/>
        </w:rPr>
        <w:t xml:space="preserve"> being written as </w:t>
      </w:r>
      <w:r>
        <w:rPr>
          <w:i/>
          <w:iCs/>
          <w:sz w:val="24"/>
          <w:szCs w:val="24"/>
          <w:lang w:val="en-GB"/>
        </w:rPr>
        <w:t>x</w:t>
      </w:r>
      <w:r>
        <w:rPr>
          <w:sz w:val="24"/>
          <w:szCs w:val="24"/>
          <w:lang w:val="en-GB"/>
        </w:rPr>
        <w:t xml:space="preserve">, and </w:t>
      </w:r>
      <w:proofErr w:type="spellStart"/>
      <w:r>
        <w:rPr>
          <w:i/>
          <w:iCs/>
          <w:sz w:val="24"/>
          <w:szCs w:val="24"/>
          <w:lang w:val="en-GB"/>
        </w:rPr>
        <w:t>tidak</w:t>
      </w:r>
      <w:proofErr w:type="spellEnd"/>
      <w:r>
        <w:rPr>
          <w:i/>
          <w:iCs/>
          <w:sz w:val="24"/>
          <w:szCs w:val="24"/>
          <w:lang w:val="en-GB"/>
        </w:rPr>
        <w:t xml:space="preserve"> </w:t>
      </w:r>
      <w:proofErr w:type="spellStart"/>
      <w:r>
        <w:rPr>
          <w:i/>
          <w:iCs/>
          <w:sz w:val="24"/>
          <w:szCs w:val="24"/>
          <w:lang w:val="en-GB"/>
        </w:rPr>
        <w:t>ada</w:t>
      </w:r>
      <w:proofErr w:type="spellEnd"/>
      <w:r>
        <w:rPr>
          <w:sz w:val="24"/>
          <w:szCs w:val="24"/>
          <w:lang w:val="en-GB"/>
        </w:rPr>
        <w:t xml:space="preserve"> being written as </w:t>
      </w:r>
      <w:proofErr w:type="spellStart"/>
      <w:r>
        <w:rPr>
          <w:i/>
          <w:iCs/>
          <w:sz w:val="24"/>
          <w:szCs w:val="24"/>
          <w:lang w:val="en-GB"/>
        </w:rPr>
        <w:t>takde</w:t>
      </w:r>
      <w:proofErr w:type="spellEnd"/>
      <w:r>
        <w:rPr>
          <w:sz w:val="24"/>
          <w:szCs w:val="24"/>
          <w:lang w:val="en-GB"/>
        </w:rPr>
        <w:t xml:space="preserve">, </w:t>
      </w:r>
      <w:proofErr w:type="spellStart"/>
      <w:r>
        <w:rPr>
          <w:i/>
          <w:iCs/>
          <w:sz w:val="24"/>
          <w:szCs w:val="24"/>
          <w:lang w:val="en-GB"/>
        </w:rPr>
        <w:t>xde</w:t>
      </w:r>
      <w:proofErr w:type="spellEnd"/>
      <w:r>
        <w:rPr>
          <w:sz w:val="24"/>
          <w:szCs w:val="24"/>
          <w:lang w:val="en-GB"/>
        </w:rPr>
        <w:t xml:space="preserve"> or </w:t>
      </w:r>
      <w:proofErr w:type="spellStart"/>
      <w:r>
        <w:rPr>
          <w:i/>
          <w:iCs/>
          <w:sz w:val="24"/>
          <w:szCs w:val="24"/>
          <w:lang w:val="en-GB"/>
        </w:rPr>
        <w:t>tade</w:t>
      </w:r>
      <w:proofErr w:type="spellEnd"/>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meaning words absent from the reference lexicon (</w:t>
      </w:r>
      <w:proofErr w:type="spellStart"/>
      <w:r>
        <w:rPr>
          <w:sz w:val="24"/>
          <w:szCs w:val="24"/>
          <w:lang w:val="en-GB"/>
        </w:rPr>
        <w:t>Maskat</w:t>
      </w:r>
      <w:proofErr w:type="spellEnd"/>
      <w:r>
        <w:rPr>
          <w:sz w:val="24"/>
          <w:szCs w:val="24"/>
          <w:lang w:val="en-GB"/>
        </w:rPr>
        <w:t xml:space="preserve"> and Rahman, 2020). Abu Bakar et al. (2020) describe Malay social media text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3D2EBE0D" w14:textId="7617E08A" w:rsidR="00754684" w:rsidRDefault="00000000">
      <w:pPr>
        <w:spacing w:before="120"/>
        <w:ind w:firstLine="244"/>
        <w:jc w:val="both"/>
        <w:rPr>
          <w:sz w:val="24"/>
          <w:szCs w:val="24"/>
          <w:lang w:val="en-GB"/>
        </w:rPr>
      </w:pPr>
      <w:r>
        <w:rPr>
          <w:sz w:val="24"/>
          <w:szCs w:val="24"/>
          <w:lang w:val="en-GB"/>
        </w:rPr>
        <w:t xml:space="preserve">These differences between Malaysian writing conventions and the assumptions built into standard tools raise a question about the source of the difficulty. When a sentiment model performs poorly on Malay-English mixed text, one common </w:t>
      </w:r>
      <w:r>
        <w:rPr>
          <w:sz w:val="24"/>
          <w:szCs w:val="24"/>
          <w:lang w:val="en-GB"/>
        </w:rPr>
        <w:lastRenderedPageBreak/>
        <w:t>explanation concerns the model architecture (</w:t>
      </w:r>
      <w:proofErr w:type="spellStart"/>
      <w:r>
        <w:rPr>
          <w:sz w:val="24"/>
          <w:szCs w:val="24"/>
          <w:lang w:val="en-GB"/>
        </w:rPr>
        <w:t>Doğruöz</w:t>
      </w:r>
      <w:proofErr w:type="spellEnd"/>
      <w:r>
        <w:rPr>
          <w:sz w:val="24"/>
          <w:szCs w:val="24"/>
          <w:lang w:val="en-GB"/>
        </w:rPr>
        <w:t xml:space="preserve"> et al., 2021; Winata et al., 2023). Under this view the model processes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w:t>
      </w:r>
      <w:proofErr w:type="spellStart"/>
      <w:r>
        <w:rPr>
          <w:sz w:val="24"/>
          <w:szCs w:val="24"/>
          <w:lang w:val="en-GB"/>
        </w:rPr>
        <w:t>Adilazuarda</w:t>
      </w:r>
      <w:proofErr w:type="spellEnd"/>
      <w:r>
        <w:rPr>
          <w:sz w:val="24"/>
          <w:szCs w:val="24"/>
          <w:lang w:val="en-GB"/>
        </w:rPr>
        <w:t xml:space="preserve">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w:t>
      </w:r>
      <w:proofErr w:type="spellStart"/>
      <w:r>
        <w:rPr>
          <w:sz w:val="24"/>
          <w:szCs w:val="24"/>
          <w:lang w:val="en-GB"/>
        </w:rPr>
        <w:t>Conneau</w:t>
      </w:r>
      <w:proofErr w:type="spellEnd"/>
      <w:r>
        <w:rPr>
          <w:sz w:val="24"/>
          <w:szCs w:val="24"/>
          <w:lang w:val="en-GB"/>
        </w:rPr>
        <w:t xml:space="preserve"> et al. (2020) describe a trade-off between two effects in multilingual models. Adding languages can improve performance on each of them, an effect they call positive transfer. Beyond a point, however, the modelling capacity available to any individual language falls, an effect they call capacity dilution, and the quality of its representations may decline. </w:t>
      </w:r>
      <w:proofErr w:type="spellStart"/>
      <w:r>
        <w:rPr>
          <w:sz w:val="24"/>
          <w:szCs w:val="24"/>
          <w:lang w:val="en-GB"/>
        </w:rPr>
        <w:t>Doğruöz</w:t>
      </w:r>
      <w:proofErr w:type="spellEnd"/>
      <w:r>
        <w:rPr>
          <w:sz w:val="24"/>
          <w:szCs w:val="24"/>
          <w:lang w:val="en-GB"/>
        </w:rPr>
        <w:t xml:space="preserve">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453DC7D9" w14:textId="77777777" w:rsidR="00754684" w:rsidRDefault="00000000">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The amount of labelled data available therefore sets a bound on what can be trained and on what can be tested. Poria et al. (2023) describe this reliance on annotated data as often limiting, and note that it has renewed interest in supplying models with external knowledge such as sentiment lexicons. A sentiment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w:t>
      </w:r>
      <w:proofErr w:type="spellStart"/>
      <w:r>
        <w:rPr>
          <w:sz w:val="24"/>
          <w:szCs w:val="24"/>
          <w:lang w:val="en-GB"/>
        </w:rPr>
        <w:t>Frénay</w:t>
      </w:r>
      <w:proofErr w:type="spellEnd"/>
      <w:r>
        <w:rPr>
          <w:sz w:val="24"/>
          <w:szCs w:val="24"/>
          <w:lang w:val="en-GB"/>
        </w:rPr>
        <w:t xml:space="preserve"> and </w:t>
      </w:r>
      <w:proofErr w:type="spellStart"/>
      <w:r>
        <w:rPr>
          <w:sz w:val="24"/>
          <w:szCs w:val="24"/>
          <w:lang w:val="en-GB"/>
        </w:rPr>
        <w:t>Verleysen</w:t>
      </w:r>
      <w:proofErr w:type="spellEnd"/>
      <w:r>
        <w:rPr>
          <w:sz w:val="24"/>
          <w:szCs w:val="24"/>
          <w:lang w:val="en-GB"/>
        </w:rPr>
        <w:t>,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6E28A27A" w14:textId="77777777" w:rsidR="00754684" w:rsidRDefault="00000000">
      <w:pPr>
        <w:spacing w:before="120"/>
        <w:ind w:firstLine="244"/>
        <w:jc w:val="both"/>
        <w:rPr>
          <w:sz w:val="24"/>
          <w:szCs w:val="24"/>
          <w:lang w:val="en-GB"/>
        </w:rPr>
      </w:pPr>
      <w:r>
        <w:rPr>
          <w:sz w:val="24"/>
          <w:szCs w:val="24"/>
          <w:lang w:val="en-GB"/>
        </w:rPr>
        <w:t>Those two stages apply to supervised learning in general. For Malaysian Malay-English code-mixed sentiment data in particular, the question is whether the model or the sentiment labels are the greater constraint at present. Three findings point to the labels, and each is developed in the sections that follow. First, this review identifies four Malay-English sentiment resources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w:t>
      </w:r>
      <w:proofErr w:type="spellStart"/>
      <w:r>
        <w:rPr>
          <w:sz w:val="24"/>
          <w:szCs w:val="24"/>
          <w:lang w:val="en-GB"/>
        </w:rPr>
        <w:t>Romadhona</w:t>
      </w:r>
      <w:proofErr w:type="spellEnd"/>
      <w:r>
        <w:rPr>
          <w:sz w:val="24"/>
          <w:szCs w:val="24"/>
          <w:lang w:val="en-GB"/>
        </w:rPr>
        <w:t xml:space="preserve"> et al., 2022; Kong et al., 2023; Mohd Shamsuddin et al., 2024). None of them meets all four of the criteria a general-purpose resource would need. Those criteria are (1) at least ten thousand labelled messages; (2) a label distribution that is not dominated by a single sentiment class; (3) text drawn from everyday social media posts rather than from blogs or reviews; and (4) an assessment of annotation </w:t>
      </w:r>
      <w:r>
        <w:rPr>
          <w:sz w:val="24"/>
          <w:szCs w:val="24"/>
          <w:lang w:val="en-GB"/>
        </w:rPr>
        <w:lastRenderedPageBreak/>
        <w:t>reliability by human annotators. Each of them satisfies some of these criteria but not all of them. Second, the largest of them is labelled 78.23% neutral (Mohd Shamsuddin et al., 2024). That skew towards the neutral label appears to originate in the labelling method rather than in Malaysian discourse. Third, the studies introducing two of the four resources report no inter-annotator agreement coefficient at all (Kong et al., 2023; Mohd Shamsuddin et al., 2024). Where a coefficient is reported, it was measured on a two-way judgement rather than on the three-way positive, negative and neutral labelling for which the resource is used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w:t>
      </w:r>
      <w:proofErr w:type="spellStart"/>
      <w:r>
        <w:rPr>
          <w:sz w:val="24"/>
          <w:szCs w:val="24"/>
          <w:lang w:val="en-GB"/>
        </w:rPr>
        <w:t>Romadhona</w:t>
      </w:r>
      <w:proofErr w:type="spellEnd"/>
      <w:r>
        <w:rPr>
          <w:sz w:val="24"/>
          <w:szCs w:val="24"/>
          <w:lang w:val="en-GB"/>
        </w:rPr>
        <w:t xml:space="preserve"> et al., 2022).</w:t>
      </w:r>
    </w:p>
    <w:p w14:paraId="27EE0993" w14:textId="77777777" w:rsidR="00754684" w:rsidRDefault="00000000">
      <w:pPr>
        <w:spacing w:before="120"/>
        <w:ind w:firstLine="244"/>
        <w:jc w:val="both"/>
        <w:rPr>
          <w:sz w:val="24"/>
          <w:szCs w:val="24"/>
          <w:lang w:val="en-GB"/>
        </w:rPr>
      </w:pPr>
      <w:r>
        <w:rPr>
          <w:sz w:val="24"/>
          <w:szCs w:val="24"/>
          <w:lang w:val="en-GB"/>
        </w:rPr>
        <w:t>The second and third findings are closely related rather than independent. Reliability is normally assessed by having independent annotators label the same text and computing a chance-corrected agreement coefficient, such as Cohen's kappa (</w:t>
      </w:r>
      <w:r>
        <w:rPr>
          <w:i/>
          <w:iCs/>
          <w:sz w:val="24"/>
          <w:szCs w:val="24"/>
          <w:lang w:val="en-GB"/>
        </w:rPr>
        <w:t>κ</w:t>
      </w:r>
      <w:r>
        <w:rPr>
          <w:sz w:val="24"/>
          <w:szCs w:val="24"/>
          <w:lang w:val="en-GB"/>
        </w:rPr>
        <w:t xml:space="preserve">) (Cohen, 1960;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xml:space="preserve">, 2008). Cohen's </w:t>
      </w:r>
      <w:r>
        <w:rPr>
          <w:i/>
          <w:iCs/>
          <w:sz w:val="24"/>
          <w:szCs w:val="24"/>
          <w:lang w:val="en-GB"/>
        </w:rPr>
        <w:t>κ</w:t>
      </w:r>
      <w:r>
        <w:rPr>
          <w:sz w:val="24"/>
          <w:szCs w:val="24"/>
          <w:lang w:val="en-GB"/>
        </w:rPr>
        <w:t xml:space="preserve"> becomes difficult to interpret when one category dominates the label distribution, because the agreement expected by chance rises with that skew (Feinstein and Cicchetti, 1990; Byrt et al., 1993). Di Eugenio and Glass (2004) call this effect the prevalence problem. The skew towards the neutral label described in the second finding can therefore make Cohen's </w:t>
      </w:r>
      <w:r>
        <w:rPr>
          <w:i/>
          <w:iCs/>
          <w:sz w:val="24"/>
          <w:szCs w:val="24"/>
          <w:lang w:val="en-GB"/>
        </w:rPr>
        <w:t>κ</w:t>
      </w:r>
      <w:r>
        <w:rPr>
          <w:sz w:val="24"/>
          <w:szCs w:val="24"/>
          <w:lang w:val="en-GB"/>
        </w:rPr>
        <w:t>, the statistic named in the third, more difficult to interpret. Neither correction would be sufficient without the other. These four resources are therefore limited both in what they contain and in what is known about the reliability of their labels. That shortage is not confined to them, since Selvaraju et al. (2024) report that comprehensive datasets and annotated resources for code-mixed Malay text are still lacking more generally.</w:t>
      </w:r>
    </w:p>
    <w:p w14:paraId="71F20B90"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6DB2983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778718A0" w14:textId="77777777" w:rsidR="00754684" w:rsidRDefault="00000000">
      <w:pPr>
        <w:numPr>
          <w:ilvl w:val="0"/>
          <w:numId w:val="5"/>
        </w:numPr>
        <w:spacing w:before="120"/>
        <w:jc w:val="both"/>
        <w:rPr>
          <w:sz w:val="24"/>
          <w:szCs w:val="24"/>
          <w:lang w:val="en-GB"/>
        </w:rPr>
      </w:pPr>
      <w:r>
        <w:rPr>
          <w:sz w:val="24"/>
          <w:szCs w:val="24"/>
          <w:lang w:val="en-GB"/>
        </w:rPr>
        <w:t>It organises the annotation strategies used for low-resource code-mixed text into three tiers, which are manual, semi-automated and fully automated labelling, and examines the trade-off between label fidelity and scalability across them.</w:t>
      </w:r>
    </w:p>
    <w:p w14:paraId="14C8A272" w14:textId="77777777" w:rsidR="00754684" w:rsidRDefault="00000000">
      <w:pPr>
        <w:numPr>
          <w:ilvl w:val="0"/>
          <w:numId w:val="5"/>
        </w:numPr>
        <w:spacing w:before="120"/>
        <w:jc w:val="both"/>
        <w:rPr>
          <w:sz w:val="24"/>
          <w:szCs w:val="24"/>
          <w:lang w:val="en-GB"/>
        </w:rPr>
      </w:pPr>
      <w:r>
        <w:rPr>
          <w:sz w:val="24"/>
          <w:szCs w:val="24"/>
          <w:lang w:val="en-GB"/>
        </w:rPr>
        <w:t>It distinguishes two sources of neutral-label skew, one produced by the labelling tools themselves and the other by genuine uncertainty among annotators. It also examines what the studies that introduced the four Malay-English sentiment resources report about how reliably each was annotated.</w:t>
      </w:r>
    </w:p>
    <w:p w14:paraId="700CADAD" w14:textId="77777777" w:rsidR="00754684" w:rsidRDefault="00000000">
      <w:pPr>
        <w:numPr>
          <w:ilvl w:val="0"/>
          <w:numId w:val="5"/>
        </w:numPr>
        <w:spacing w:before="120"/>
        <w:jc w:val="both"/>
        <w:rPr>
          <w:sz w:val="24"/>
          <w:szCs w:val="24"/>
          <w:lang w:val="en-GB"/>
        </w:rPr>
      </w:pPr>
      <w:r>
        <w:rPr>
          <w:sz w:val="24"/>
          <w:szCs w:val="24"/>
          <w:lang w:val="en-GB"/>
        </w:rPr>
        <w:t>It shows how the linguistic, annotation and evaluation challenges compound one another rather than merely co-occurring, and sets out a research agenda that follows from that interaction.</w:t>
      </w:r>
    </w:p>
    <w:p w14:paraId="316FC3E1" w14:textId="77777777" w:rsidR="00754684" w:rsidRDefault="00000000">
      <w:pPr>
        <w:spacing w:before="120"/>
        <w:ind w:firstLine="244"/>
        <w:jc w:val="both"/>
        <w:rPr>
          <w:sz w:val="24"/>
          <w:szCs w:val="24"/>
          <w:lang w:val="en-GB"/>
        </w:rPr>
      </w:pPr>
      <w:r>
        <w:rPr>
          <w:sz w:val="24"/>
          <w:szCs w:val="24"/>
          <w:lang w:val="en-GB"/>
        </w:rPr>
        <w:lastRenderedPageBreak/>
        <w:t xml:space="preserve">The literature examined here was identified through searches of the ACL Anthology, IEEE Xplore, Scopus and </w:t>
      </w:r>
      <w:proofErr w:type="spellStart"/>
      <w:r>
        <w:rPr>
          <w:sz w:val="24"/>
          <w:szCs w:val="24"/>
          <w:lang w:val="en-GB"/>
        </w:rPr>
        <w:t>arXiv</w:t>
      </w:r>
      <w:proofErr w:type="spellEnd"/>
      <w:r>
        <w:rPr>
          <w:sz w:val="24"/>
          <w:szCs w:val="24"/>
          <w:lang w:val="en-GB"/>
        </w:rPr>
        <w:t>, combining terms for the language variety, the sentiment task and annotation quality. Studies that only benchmark classifiers, with no annotation or reliability component, were not included.</w:t>
      </w:r>
    </w:p>
    <w:p w14:paraId="27BA564C" w14:textId="77777777" w:rsidR="00754684" w:rsidRDefault="00000000">
      <w:pPr>
        <w:spacing w:before="120"/>
        <w:ind w:firstLine="244"/>
        <w:jc w:val="both"/>
        <w:rPr>
          <w:sz w:val="24"/>
          <w:szCs w:val="24"/>
          <w:lang w:val="en-GB"/>
        </w:rPr>
      </w:pPr>
      <w:r>
        <w:rPr>
          <w:i w:val="0"/>
          <w:sz w:val="24"/>
          <w:szCs w:val="24"/>
          <w:lang w:val="en-GB"/>
        </w:rPr>
        <w:t>The rest of this paper is organised as follows. Section 2 explains why Malaysian code-mixed writing is difficult to annotate. Section 3 examines annotation practice, its failure modes and the models used as annotators. Section 4 discusses how annotation reliability is evaluated. Section 5 brings these findings together and sets out directions for future research, and Section 6 concludes the review.</w:t>
      </w:r>
    </w:p>
    <w:p w14:paraId="328D66FE" w14:textId="77777777" w:rsidR="006546A0" w:rsidRPr="006546A0" w:rsidRDefault="001B76A7" w:rsidP="00C127AD">
      <w:pPr>
        <w:tabs>
          <w:tab w:val="left" w:pos="24"/>
        </w:tabs>
        <w:jc w:val="both"/>
        <w:rPr>
          <w:sz w:val="24"/>
          <w:szCs w:val="24"/>
        </w:rPr>
      </w:pPr>
      <w:r>
        <w:rPr>
          <w:b/>
          <w:sz w:val="26"/>
          <w:szCs w:val="26"/>
        </w:rPr>
        <w:t xml:space="preserve"> </w:t>
      </w:r>
    </w:p>
    <w:p w14:paraId="75B4FFC1" w14:textId="77777777" w:rsidR="001B76A7" w:rsidRDefault="00C127AD" w:rsidP="001B76A7">
      <w:pPr>
        <w:keepNext/>
        <w:tabs>
          <w:tab w:val="left" w:pos="24"/>
        </w:tabs>
        <w:jc w:val="both"/>
        <w:rPr>
          <w:b/>
          <w:sz w:val="26"/>
          <w:szCs w:val="26"/>
        </w:rPr>
      </w:pPr>
      <w:r>
        <w:rPr>
          <w:b/>
          <w:sz w:val="26"/>
          <w:szCs w:val="26"/>
        </w:rPr>
        <w:t>2. Why Malaysian Code-Mixed Text Is Difficult to Annotate</w:t>
      </w:r>
    </w:p>
    <w:p w14:paraId="3551DF2A" w14:textId="0E340E94" w:rsidR="00DC3302" w:rsidRPr="006546A0" w:rsidRDefault="00DC3302" w:rsidP="00033FFC">
      <w:pPr>
        <w:spacing w:before="120"/>
        <w:ind w:firstLine="244"/>
        <w:jc w:val="both"/>
        <w:rPr>
          <w:sz w:val="24"/>
          <w:szCs w:val="24"/>
        </w:rPr>
      </w:pPr>
      <w:r>
        <w:rPr>
          <w:i w:val="0"/>
          <w:sz w:val="24"/>
          <w:szCs w:val="24"/>
        </w:rPr>
        <w:t>Section 1 identified the sentiment labels, rather than the model, as the greater constraint on sentiment analysis of Malaysian Malay-English text. Annotation practice is examined in Section 3. The text being annotated is described first, because three of its linguistic properties affect the annotation task directly. The first property is that switching between Malay and English occurs inside the sentence. The second property concerns the affect of a message, meaning the emotional attitude it expresses. That affect can be carried by Malay particles, and these particles appear in no standard sentiment lexicon. The third property is that phonetic spelling gives a single word many written forms. All three properties are described in the sociolinguistic literature on Malay-English contact (Muysken, 2013; Treffers-Daller et al., 2022; AlAfnan et al., 2025). Each property is presented below together with its consequence for the annotator, who may be a human or an automatic labelling method.</w:t>
      </w:r>
    </w:p>
    <w:p w14:paraId="7AC9F57D" w14:textId="77777777" w:rsidR="00B30939" w:rsidRPr="0040646E" w:rsidRDefault="00B30939" w:rsidP="00B30939">
      <w:pPr>
        <w:jc w:val="both"/>
        <w:rPr>
          <w:sz w:val="24"/>
          <w:szCs w:val="24"/>
        </w:rPr>
      </w:pPr>
    </w:p>
    <w:p w14:paraId="30DBB0DA" w14:textId="77777777" w:rsidR="00F379CB" w:rsidRPr="006546A0" w:rsidRDefault="00C127AD" w:rsidP="00B30939">
      <w:pPr>
        <w:keepNext/>
        <w:jc w:val="both"/>
        <w:rPr>
          <w:b/>
          <w:bCs/>
          <w:szCs w:val="24"/>
        </w:rPr>
      </w:pPr>
      <w:r>
        <w:rPr>
          <w:b/>
          <w:bCs/>
          <w:sz w:val="24"/>
          <w:szCs w:val="24"/>
        </w:rPr>
        <w:t xml:space="preserve">2.1 </w:t>
      </w:r>
      <w:r>
        <w:rPr>
          <w:b/>
          <w:bCs/>
          <w:sz w:val="24"/>
          <w:szCs w:val="32"/>
        </w:rPr>
        <w:t>Switching occurs within the sentence and offers little reliable structural cue</w:t>
      </w:r>
    </w:p>
    <w:p w14:paraId="771C5928" w14:textId="4A0FA306" w:rsidR="00F379CB" w:rsidRPr="006546A0" w:rsidRDefault="00F379CB" w:rsidP="006C2993">
      <w:pPr>
        <w:spacing w:before="120"/>
        <w:ind w:firstLine="244"/>
        <w:jc w:val="both"/>
        <w:rPr>
          <w:sz w:val="24"/>
          <w:szCs w:val="24"/>
        </w:rPr>
      </w:pPr>
      <w:r>
        <w:rPr>
          <w:i w:val="0"/>
          <w:sz w:val="24"/>
          <w:szCs w:val="24"/>
        </w:rPr>
        <w:t>Treffers-Daller et al. (2022) analysed 1,044 switched utterances from the classroom speech of two Malaysian teachers of English. In their data, the majority of the switches occurred within the clause rather than between clauses. Insertion accounted for 33.0% of the switches. In insertion, a word or phrase from one language is placed inside a stretch of the other. Congruent lexicalisation accounted for a further 30.7%. In congruent lexicalisation, words from both languages are combined within a single shared word order. Alternation between whole clauses accounted for 24.8%. The authors attribute this distribution to the structure of the two languages rather than to the style of the speakers. English and Malay share the same basic word order. In both languages, the subject comes before the verb and the verb before the object. Malay also has very little inflectional morphology. Inflectional morphology refers to changes in the form of a word that mark grammatical features such as tense. A speaker can therefore move from one language to the other in the middle of a clause with little grammatical adjustment (Treffers-Daller et al., 2022; Muysken, 2013).</w:t>
      </w:r>
    </w:p>
    <w:p w14:paraId="15955C0E" w14:textId="34F0B6B4" w:rsidR="00F379CB" w:rsidRPr="00E10A8D" w:rsidRDefault="00E10A8D" w:rsidP="00E10A8D">
      <w:pPr>
        <w:spacing w:before="120"/>
        <w:ind w:firstLine="244"/>
        <w:jc w:val="both"/>
        <w:rPr>
          <w:sz w:val="24"/>
          <w:szCs w:val="24"/>
          <w:lang w:val="en-GB"/>
        </w:rPr>
      </w:pPr>
      <w:r>
        <w:rPr>
          <w:i w:val="0"/>
          <w:sz w:val="24"/>
          <w:szCs w:val="24"/>
          <w:lang w:val="en-GB"/>
        </w:rPr>
        <w:t xml:space="preserve">These proportions were measured on spoken classroom data. They should therefore not be taken as the proportions in social media text. However, the explanation given by the authors concerns the structure of the two languages and not the medium in which they are used. The same type of switching can therefore be expected in writing. Mohd Shamsuddin et al. (2024) give a written example in the post "Does institut kanser offer free medication cheap chemotherapy". Here the Malay noun phrase </w:t>
      </w:r>
      <w:r>
        <w:rPr>
          <w:i/>
          <w:sz w:val="24"/>
          <w:szCs w:val="24"/>
          <w:lang w:val="en-GB"/>
        </w:rPr>
        <w:t>institut kanser</w:t>
      </w:r>
      <w:r>
        <w:rPr>
          <w:i w:val="0"/>
          <w:sz w:val="24"/>
          <w:szCs w:val="24"/>
          <w:lang w:val="en-GB"/>
        </w:rPr>
        <w:t xml:space="preserve"> is placed inside an English question. The phrase follows Malay word order, in which the noun comes before its modifier.</w:t>
      </w:r>
    </w:p>
    <w:p w14:paraId="1DF936C4" w14:textId="77777777" w:rsidR="0040646E" w:rsidRDefault="00F379CB" w:rsidP="00B30939">
      <w:pPr>
        <w:spacing w:before="120"/>
        <w:ind w:firstLine="244"/>
        <w:jc w:val="both"/>
        <w:rPr>
          <w:sz w:val="24"/>
          <w:szCs w:val="24"/>
        </w:rPr>
      </w:pPr>
      <w:r>
        <w:rPr>
          <w:i w:val="0"/>
          <w:sz w:val="24"/>
          <w:szCs w:val="24"/>
        </w:rPr>
        <w:t>The consequence for annotation is that the annotator cannot use the boundary between the two languages to locate the part of the message that carries the sentiment. In monolingual annotation, locating that part is a separate step from judging its polarity. Aspect-based sentiment analysis is one task in which the two steps are separate. In that task, a sentiment label is assigned to each entity or attribute mentioned in a text rather than to the text as a whole (Nazir et al., 2022). In the annotation scheme described by Pontiki et al. (2016), the annotator first marks the words that express the opinion as a span. A span is a marked stretch of text. The annotator then assigns a polarity label to that span. In Malay-English mixed text, the annotator has no language boundary to guide the first step. Deciding which span to judge already requires interpretation. Two annotators may therefore assign different labels because they are judging different parts of the message, not because they judge the sentiment differently.</w:t>
      </w:r>
    </w:p>
    <w:p w14:paraId="7CB6C116" w14:textId="77777777" w:rsidR="00B30939" w:rsidRDefault="00B30939" w:rsidP="00B30939">
      <w:pPr>
        <w:ind w:firstLine="244"/>
        <w:jc w:val="both"/>
        <w:rPr>
          <w:sz w:val="24"/>
          <w:szCs w:val="24"/>
        </w:rPr>
      </w:pPr>
    </w:p>
    <w:p w14:paraId="0A1A5890" w14:textId="77777777" w:rsidR="0040646E" w:rsidRPr="0040646E" w:rsidRDefault="00C127AD" w:rsidP="00B30939">
      <w:pPr>
        <w:keepNext/>
        <w:jc w:val="both"/>
        <w:rPr>
          <w:b/>
          <w:bCs/>
          <w:szCs w:val="24"/>
          <w:lang w:val="en-GB"/>
        </w:rPr>
      </w:pPr>
      <w:r>
        <w:rPr>
          <w:b/>
          <w:bCs/>
          <w:sz w:val="24"/>
          <w:szCs w:val="24"/>
        </w:rPr>
        <w:t xml:space="preserve">2.2 </w:t>
      </w:r>
      <w:r>
        <w:rPr>
          <w:b/>
          <w:bCs/>
          <w:sz w:val="24"/>
          <w:szCs w:val="32"/>
          <w:lang w:val="en-GB"/>
        </w:rPr>
        <w:t>Affective meaning is carried by particles that belong to neither standard language</w:t>
      </w:r>
    </w:p>
    <w:p w14:paraId="2FC4519F" w14:textId="77777777" w:rsidR="0040646E" w:rsidRDefault="0040646E" w:rsidP="0040646E">
      <w:pPr>
        <w:spacing w:before="120"/>
        <w:ind w:firstLine="244"/>
        <w:jc w:val="both"/>
        <w:rPr>
          <w:sz w:val="24"/>
          <w:szCs w:val="24"/>
          <w:lang w:val="en-GB"/>
        </w:rPr>
      </w:pPr>
      <w:r>
        <w:rPr>
          <w:i w:val="0"/>
          <w:sz w:val="24"/>
          <w:szCs w:val="24"/>
          <w:lang w:val="en-GB"/>
        </w:rPr>
        <w:t xml:space="preserve">Locating the part of the message that carries the opinion is the first difficulty. A second difficulty arises once that part has been located. The word that carries the affect may be a Malay particle. That particle may be attached to a clause that is otherwise entirely English. Muysken (2013) terms this construction back-flagging. Treffers-Daller et al. (2022) define back-flagging as the attachment of a discourse marker or a coordinating conjunction from a speaker's first language to a stretch of speech in the second language. In their data, back-flagging accounts for 121 of the 1,044 switched utterances, or 11.6%. The particle involved most frequently is </w:t>
      </w:r>
      <w:r>
        <w:rPr>
          <w:i/>
          <w:sz w:val="24"/>
          <w:szCs w:val="24"/>
          <w:lang w:val="en-GB"/>
        </w:rPr>
        <w:t>lah</w:t>
      </w:r>
      <w:r>
        <w:rPr>
          <w:i w:val="0"/>
          <w:sz w:val="24"/>
          <w:szCs w:val="24"/>
          <w:lang w:val="en-GB"/>
        </w:rPr>
        <w:t xml:space="preserve"> (Treffers-Daller et al., 2022). The same study reports that </w:t>
      </w:r>
      <w:r>
        <w:rPr>
          <w:i/>
          <w:sz w:val="24"/>
          <w:szCs w:val="24"/>
          <w:lang w:val="en-GB"/>
        </w:rPr>
        <w:t>lah</w:t>
      </w:r>
      <w:r>
        <w:rPr>
          <w:i w:val="0"/>
          <w:sz w:val="24"/>
          <w:szCs w:val="24"/>
          <w:lang w:val="en-GB"/>
        </w:rPr>
        <w:t xml:space="preserve"> can attach to a clause that is entirely English, entirely Malay or mixed. Two examples that the study reproduces from earlier descriptive work are "Buy this lah" and "you understand lah kan".</w:t>
      </w:r>
    </w:p>
    <w:p w14:paraId="197C1B47" w14:textId="1DCF3631" w:rsidR="0040646E" w:rsidRDefault="0040646E" w:rsidP="0040646E">
      <w:pPr>
        <w:spacing w:before="120"/>
        <w:ind w:firstLine="244"/>
        <w:jc w:val="both"/>
        <w:rPr>
          <w:sz w:val="24"/>
          <w:szCs w:val="24"/>
          <w:lang w:val="en-GB"/>
        </w:rPr>
      </w:pPr>
      <w:r>
        <w:rPr>
          <w:i w:val="0"/>
          <w:sz w:val="24"/>
          <w:szCs w:val="24"/>
          <w:lang w:val="en-GB"/>
        </w:rPr>
        <w:t xml:space="preserve">These particles contribute to the tone of a sentence rather than to its factual content. AlAfnan et al. (2025) classify particles as a lexical feature that distinguishes Manglish from standard English and standard Malay. In their account, particles add emphasis or tone and signal politeness or informality. According to the same study, one function of these particles is to soften an instruction. The example given is "Don't disturb la, he's busy", in which the particle makes the instruction less direct. Treffers-Daller et al. (2022) describe the same effect for </w:t>
      </w:r>
      <w:r>
        <w:rPr>
          <w:i/>
          <w:sz w:val="24"/>
          <w:szCs w:val="24"/>
          <w:lang w:val="en-GB"/>
        </w:rPr>
        <w:t>lah</w:t>
      </w:r>
      <w:r>
        <w:rPr>
          <w:i w:val="0"/>
          <w:sz w:val="24"/>
          <w:szCs w:val="24"/>
          <w:lang w:val="en-GB"/>
        </w:rPr>
        <w:t xml:space="preserve">. They report that </w:t>
      </w:r>
      <w:r>
        <w:rPr>
          <w:i/>
          <w:sz w:val="24"/>
          <w:szCs w:val="24"/>
          <w:lang w:val="en-GB"/>
        </w:rPr>
        <w:t>lah</w:t>
      </w:r>
      <w:r>
        <w:rPr>
          <w:i w:val="0"/>
          <w:sz w:val="24"/>
          <w:szCs w:val="24"/>
          <w:lang w:val="en-GB"/>
        </w:rPr>
        <w:t xml:space="preserve"> can shift an utterance from a highly assertive tone to a polite request or a friendly encouragement. In both accounts, the particle leaves what the sentence states unchanged. What the particle alters is the attitude the sentence conveys. That attitude is the property a sentiment label is intended to record.</w:t>
      </w:r>
    </w:p>
    <w:p w14:paraId="492F3674" w14:textId="24B85EF4" w:rsidR="0040646E" w:rsidRDefault="0040646E" w:rsidP="0040646E">
      <w:pPr>
        <w:spacing w:before="120"/>
        <w:ind w:firstLine="244"/>
        <w:jc w:val="both"/>
        <w:rPr>
          <w:sz w:val="24"/>
          <w:szCs w:val="24"/>
          <w:lang w:val="en-GB"/>
        </w:rPr>
      </w:pPr>
      <w:r>
        <w:rPr>
          <w:i w:val="0"/>
          <w:sz w:val="24"/>
          <w:szCs w:val="24"/>
          <w:lang w:val="en-GB"/>
        </w:rPr>
        <w:t>Neither source measures how frequently these particles occur in Malaysian social media writing. Treffers-Daller et al. (2022) report frequencies, but their corpus is fifteen hours of recorded classroom teaching by each of two university English lecturers. AlAfnan et al. (2025) describe Malaysian usage more broadly, but their data are scripted television dialogue examined through qualitative content analysis, which reports what the particles do rather than how frequently they occur. Both sources establish that the construction recurs and that it carries affect.</w:t>
      </w:r>
    </w:p>
    <w:p w14:paraId="3348DACE" w14:textId="77777777" w:rsidR="0040646E" w:rsidRDefault="0040646E" w:rsidP="0040646E">
      <w:pPr>
        <w:spacing w:before="120"/>
        <w:ind w:firstLine="244"/>
        <w:jc w:val="both"/>
        <w:rPr>
          <w:sz w:val="24"/>
          <w:szCs w:val="24"/>
          <w:lang w:val="en-GB"/>
        </w:rPr>
      </w:pPr>
      <w:r>
        <w:rPr>
          <w:i w:val="0"/>
          <w:sz w:val="24"/>
          <w:szCs w:val="24"/>
          <w:lang w:val="en-GB"/>
        </w:rPr>
        <w:t>The consequence for annotation is that the particle indicates the tone of a message but does not determine its polarity. A reader of "Don't disturb la, he's busy" can see that the particle softens the instruction. A softened instruction can still be read in two ways. Under a negative reading, the writer is irritated. Under a neutral reading, the writer is being polite. Treffers-Daller et al. (2022) note the same difficulty for discourse markers as a whole, whose specific meanings are often difficult to capture even where their pragmatic functions can be evaluated. Two annotators may read the same particle differently, and both may be reading it competently.</w:t>
      </w:r>
    </w:p>
    <w:p w14:paraId="0CFEE270" w14:textId="77777777" w:rsidR="0040646E" w:rsidRDefault="0040646E" w:rsidP="0040646E">
      <w:pPr>
        <w:spacing w:before="120"/>
        <w:ind w:firstLine="244"/>
        <w:jc w:val="both"/>
        <w:rPr>
          <w:sz w:val="24"/>
          <w:szCs w:val="24"/>
          <w:lang w:val="en-GB"/>
        </w:rPr>
      </w:pPr>
      <w:r>
        <w:rPr>
          <w:sz w:val="24"/>
          <w:szCs w:val="24"/>
          <w:lang w:val="en-GB"/>
        </w:rPr>
        <w:t>Disagreement of this kind is not necessarily reduced by adding annotators. Pavlick and Kwiatkowski (2019) find that where an item can be read in more than one justifiable way, the disagreement between annotators is reproducible. The same disagreement appears again as further judgements are collected, and the judgements do not converge on a single label. A corpus built by majority vote over such items therefore records the majority reading as though it were the only justifiable one. The variation that the majority vote conceals is systematic rather than random. An agreement coefficient computed over such items therefore reflects genuine differences in interpretation rather than annotator error alone.</w:t>
      </w:r>
    </w:p>
    <w:p w14:paraId="530E07BB" w14:textId="77777777" w:rsidR="00B30939" w:rsidRDefault="00B30939" w:rsidP="00B30939">
      <w:pPr>
        <w:ind w:firstLine="244"/>
        <w:rPr>
          <w:sz w:val="24"/>
          <w:szCs w:val="24"/>
          <w:lang w:val="en-GB"/>
        </w:rPr>
      </w:pPr>
    </w:p>
    <w:p w14:paraId="5C4B82AC" w14:textId="77777777" w:rsidR="00680263" w:rsidRPr="0040646E" w:rsidRDefault="00C127AD" w:rsidP="00B30939">
      <w:pPr>
        <w:keepNext/>
        <w:jc w:val="both"/>
        <w:rPr>
          <w:b/>
          <w:bCs/>
          <w:szCs w:val="24"/>
          <w:lang w:val="en-GB"/>
        </w:rPr>
      </w:pPr>
      <w:r>
        <w:rPr>
          <w:b/>
          <w:bCs/>
          <w:sz w:val="24"/>
          <w:szCs w:val="24"/>
        </w:rPr>
        <w:t xml:space="preserve">2.3 </w:t>
      </w:r>
      <w:r>
        <w:rPr>
          <w:b/>
          <w:bCs/>
          <w:sz w:val="24"/>
          <w:szCs w:val="24"/>
          <w:lang w:val="en-GB"/>
        </w:rPr>
        <w:t>Phonetic spelling multiplies the surface forms of a single word</w:t>
      </w:r>
    </w:p>
    <w:p w14:paraId="57E0F658" w14:textId="77777777" w:rsidR="00680263" w:rsidRDefault="00680263" w:rsidP="00680263">
      <w:pPr>
        <w:spacing w:before="120"/>
        <w:ind w:firstLine="244"/>
        <w:jc w:val="both"/>
        <w:rPr>
          <w:sz w:val="24"/>
          <w:szCs w:val="24"/>
          <w:lang w:val="en-GB"/>
        </w:rPr>
      </w:pPr>
      <w:r>
        <w:rPr>
          <w:sz w:val="24"/>
          <w:szCs w:val="24"/>
          <w:lang w:val="en-GB"/>
        </w:rPr>
        <w:t>The first two properties concern where the sentiment in a message is located and how it should be read. The third property concerns whether the words that carry the sentiment can be recognised at all. Maskat and Rahman (2020) document Malay social media users spelling words as they are pronounced rather than as a dictionary lists them. A single word can therefore appear in many written forms. Their corpus is 6,241 Twitter posts collected between 2014 and 2018. They call the language of these posts Social Media Malay Language and sort it into five categories. The categories are spelling variants, Malay-English mixed sentences, loan words spelled according to Malay pronunciation, slang-based spellings, and vowel-less words.</w:t>
      </w:r>
    </w:p>
    <w:p w14:paraId="6C578374" w14:textId="77777777" w:rsidR="00680263" w:rsidRDefault="00680263" w:rsidP="00680263">
      <w:pPr>
        <w:spacing w:before="120"/>
        <w:ind w:firstLine="244"/>
        <w:jc w:val="both"/>
        <w:rPr>
          <w:sz w:val="24"/>
          <w:szCs w:val="24"/>
          <w:lang w:val="en-GB"/>
        </w:rPr>
      </w:pPr>
      <w:r>
        <w:rPr>
          <w:sz w:val="24"/>
          <w:szCs w:val="24"/>
          <w:lang w:val="en-GB"/>
        </w:rPr>
        <w:lastRenderedPageBreak/>
        <w:t xml:space="preserve">Each category contains many forms. Among the spelling variants that Maskat and Rahman (2020) record, </w:t>
      </w:r>
      <w:r>
        <w:rPr>
          <w:i/>
          <w:sz w:val="24"/>
          <w:szCs w:val="24"/>
          <w:lang w:val="en-GB"/>
        </w:rPr>
        <w:t>macam mana</w:t>
      </w:r>
      <w:r>
        <w:rPr>
          <w:sz w:val="24"/>
          <w:szCs w:val="24"/>
          <w:lang w:val="en-GB"/>
        </w:rPr>
        <w:t xml:space="preserve"> appears as </w:t>
      </w:r>
      <w:r>
        <w:rPr>
          <w:i/>
          <w:sz w:val="24"/>
          <w:szCs w:val="24"/>
          <w:lang w:val="en-GB"/>
        </w:rPr>
        <w:t>mcmana</w:t>
      </w:r>
      <w:r>
        <w:rPr>
          <w:sz w:val="24"/>
          <w:szCs w:val="24"/>
          <w:lang w:val="en-GB"/>
        </w:rPr>
        <w:t xml:space="preserve">, </w:t>
      </w:r>
      <w:r>
        <w:rPr>
          <w:i/>
          <w:sz w:val="24"/>
          <w:szCs w:val="24"/>
          <w:lang w:val="en-GB"/>
        </w:rPr>
        <w:t>camne</w:t>
      </w:r>
      <w:r>
        <w:rPr>
          <w:sz w:val="24"/>
          <w:szCs w:val="24"/>
          <w:lang w:val="en-GB"/>
        </w:rPr>
        <w:t xml:space="preserve">, </w:t>
      </w:r>
      <w:r>
        <w:rPr>
          <w:i/>
          <w:sz w:val="24"/>
          <w:szCs w:val="24"/>
          <w:lang w:val="en-GB"/>
        </w:rPr>
        <w:t>camner</w:t>
      </w:r>
      <w:r>
        <w:rPr>
          <w:sz w:val="24"/>
          <w:szCs w:val="24"/>
          <w:lang w:val="en-GB"/>
        </w:rPr>
        <w:t xml:space="preserve">, </w:t>
      </w:r>
      <w:r>
        <w:rPr>
          <w:i/>
          <w:sz w:val="24"/>
          <w:szCs w:val="24"/>
          <w:lang w:val="en-GB"/>
        </w:rPr>
        <w:t>mcmner</w:t>
      </w:r>
      <w:r>
        <w:rPr>
          <w:sz w:val="24"/>
          <w:szCs w:val="24"/>
          <w:lang w:val="en-GB"/>
        </w:rPr>
        <w:t xml:space="preserve"> and </w:t>
      </w:r>
      <w:r>
        <w:rPr>
          <w:i/>
          <w:sz w:val="24"/>
          <w:szCs w:val="24"/>
          <w:lang w:val="en-GB"/>
        </w:rPr>
        <w:t>cane</w:t>
      </w:r>
      <w:r>
        <w:rPr>
          <w:sz w:val="24"/>
          <w:szCs w:val="24"/>
          <w:lang w:val="en-GB"/>
        </w:rPr>
        <w:t xml:space="preserve">. In the vowel-less category, a word is reduced to its consonants or to a single character. For example, </w:t>
      </w:r>
      <w:r>
        <w:rPr>
          <w:i/>
          <w:sz w:val="24"/>
          <w:szCs w:val="24"/>
          <w:lang w:val="en-GB"/>
        </w:rPr>
        <w:t>jangan</w:t>
      </w:r>
      <w:r>
        <w:rPr>
          <w:sz w:val="24"/>
          <w:szCs w:val="24"/>
          <w:lang w:val="en-GB"/>
        </w:rPr>
        <w:t xml:space="preserve"> is written </w:t>
      </w:r>
      <w:r>
        <w:rPr>
          <w:i/>
          <w:sz w:val="24"/>
          <w:szCs w:val="24"/>
          <w:lang w:val="en-GB"/>
        </w:rPr>
        <w:t>jgn</w:t>
      </w:r>
      <w:r>
        <w:rPr>
          <w:sz w:val="24"/>
          <w:szCs w:val="24"/>
          <w:lang w:val="en-GB"/>
        </w:rPr>
        <w:t xml:space="preserve"> and </w:t>
      </w:r>
      <w:r>
        <w:rPr>
          <w:i/>
          <w:sz w:val="24"/>
          <w:szCs w:val="24"/>
          <w:lang w:val="en-GB"/>
        </w:rPr>
        <w:t>pada</w:t>
      </w:r>
      <w:r>
        <w:rPr>
          <w:sz w:val="24"/>
          <w:szCs w:val="24"/>
          <w:lang w:val="en-GB"/>
        </w:rPr>
        <w:t xml:space="preserve"> is written </w:t>
      </w:r>
      <w:r>
        <w:rPr>
          <w:i/>
          <w:sz w:val="24"/>
          <w:szCs w:val="24"/>
          <w:lang w:val="en-GB"/>
        </w:rPr>
        <w:t>pd</w:t>
      </w:r>
      <w:r>
        <w:rPr>
          <w:sz w:val="24"/>
          <w:szCs w:val="24"/>
          <w:lang w:val="en-GB"/>
        </w:rPr>
        <w:t xml:space="preserve">. The slang category varies by region. The word </w:t>
      </w:r>
      <w:r>
        <w:rPr>
          <w:i/>
          <w:sz w:val="24"/>
          <w:szCs w:val="24"/>
          <w:lang w:val="en-GB"/>
        </w:rPr>
        <w:t>besar</w:t>
      </w:r>
      <w:r>
        <w:rPr>
          <w:sz w:val="24"/>
          <w:szCs w:val="24"/>
          <w:lang w:val="en-GB"/>
        </w:rPr>
        <w:t xml:space="preserve"> is written </w:t>
      </w:r>
      <w:r>
        <w:rPr>
          <w:i/>
          <w:sz w:val="24"/>
          <w:szCs w:val="24"/>
          <w:lang w:val="en-GB"/>
        </w:rPr>
        <w:t>besaq</w:t>
      </w:r>
      <w:r>
        <w:rPr>
          <w:sz w:val="24"/>
          <w:szCs w:val="24"/>
          <w:lang w:val="en-GB"/>
        </w:rPr>
        <w:t xml:space="preserve"> in the north and </w:t>
      </w:r>
      <w:r>
        <w:rPr>
          <w:i/>
          <w:sz w:val="24"/>
          <w:szCs w:val="24"/>
          <w:lang w:val="en-GB"/>
        </w:rPr>
        <w:t>beso</w:t>
      </w:r>
      <w:r>
        <w:rPr>
          <w:sz w:val="24"/>
          <w:szCs w:val="24"/>
          <w:lang w:val="en-GB"/>
        </w:rPr>
        <w:t xml:space="preserve"> on the east coast. The categories can also combine. The same study gives </w:t>
      </w:r>
      <w:r>
        <w:rPr>
          <w:i/>
          <w:sz w:val="24"/>
          <w:szCs w:val="24"/>
          <w:lang w:val="en-GB"/>
        </w:rPr>
        <w:t>x suko</w:t>
      </w:r>
      <w:r>
        <w:rPr>
          <w:sz w:val="24"/>
          <w:szCs w:val="24"/>
          <w:lang w:val="en-GB"/>
        </w:rPr>
        <w:t xml:space="preserve"> as a form that belongs to the slang and vowel-less categories at once.</w:t>
      </w:r>
    </w:p>
    <w:p w14:paraId="745AF226" w14:textId="616A61CA" w:rsidR="00680263" w:rsidRDefault="00680263" w:rsidP="00680263">
      <w:pPr>
        <w:spacing w:before="120"/>
        <w:ind w:firstLine="244"/>
        <w:jc w:val="both"/>
        <w:rPr>
          <w:sz w:val="24"/>
          <w:szCs w:val="24"/>
          <w:lang w:val="en-GB"/>
        </w:rPr>
      </w:pPr>
      <w:r>
        <w:rPr>
          <w:i w:val="0"/>
          <w:sz w:val="24"/>
          <w:szCs w:val="24"/>
          <w:lang w:val="en-GB"/>
        </w:rPr>
        <w:t>The question that matters for annotation is whether this variation can be reversed automatically. Maskat and Rahman (2020) tested this directly by attempting to normalise two of the five categories, spelling variants and vowel-less words. To normalise a form means to map it automatically to its standard spelling. Two measures of string similarity were used, n-gram similarity and Levenshtein distance. Each measure scores how closely two spellings resemble one another. The benchmark was a set of 1,176 pairs of similar words covering 435 distinct words. A native Malay speaker identified these pairs by hand. Precision here is the proportion of the matches proposed by a method that were correct. On that benchmark, the highest precision reported for any configuration was 0.43 (Maskat and Rahman, 2020). The authors conclude that similarity matching can detect the two categories but that a more sophisticated technique is needed. They also state that normalisation of the remaining three categories is left for future research.</w:t>
      </w:r>
    </w:p>
    <w:p w14:paraId="60088321" w14:textId="77777777" w:rsidR="00680263" w:rsidRDefault="00680263" w:rsidP="00680263">
      <w:pPr>
        <w:spacing w:before="120"/>
        <w:ind w:firstLine="244"/>
        <w:jc w:val="both"/>
        <w:rPr>
          <w:sz w:val="24"/>
          <w:szCs w:val="24"/>
          <w:lang w:val="en-GB"/>
        </w:rPr>
      </w:pPr>
      <w:r>
        <w:rPr>
          <w:sz w:val="24"/>
          <w:szCs w:val="24"/>
          <w:lang w:val="en-GB"/>
        </w:rPr>
        <w:t>Two limits on this evidence should be noted. The first is that only slang from Selangor was handled. The slang category was therefore tested more narrowly than the regional range the same paper describes. The second limit matters more for this review. English words were removed before the experiment, and code-mixed posts were excluded from the evaluation subsets. The reported precision is therefore a measurement on Malay text with the English removed, not on Malay-English mixed text. No equivalent measurement for mixed text was found among the studies reviewed here.</w:t>
      </w:r>
    </w:p>
    <w:p w14:paraId="419B7569" w14:textId="77777777" w:rsidR="00CC05FA" w:rsidRDefault="00CC05FA" w:rsidP="00CC05FA">
      <w:pPr>
        <w:spacing w:before="120"/>
        <w:ind w:firstLine="244"/>
        <w:jc w:val="both"/>
        <w:rPr>
          <w:sz w:val="24"/>
          <w:szCs w:val="24"/>
          <w:lang w:val="en-GB"/>
        </w:rPr>
      </w:pPr>
      <w:r>
        <w:rPr>
          <w:i w:val="0"/>
          <w:sz w:val="24"/>
          <w:szCs w:val="24"/>
          <w:lang w:val="en-GB"/>
        </w:rPr>
        <w:t xml:space="preserve">The consequence for annotation is that human and automatic annotators differ in what they can recognise. The difference can be seen in the study just described. A single native speaker identified 1,176 word pairs by hand. That identification was reliable enough for the result to serve as the ground truth. Automatic matching on the same ground truth reached a highest precision of 0.43. A human reader recognises </w:t>
      </w:r>
      <w:r>
        <w:rPr>
          <w:i/>
          <w:sz w:val="24"/>
          <w:szCs w:val="24"/>
          <w:lang w:val="en-GB"/>
        </w:rPr>
        <w:t>x</w:t>
      </w:r>
      <w:r>
        <w:rPr>
          <w:i w:val="0"/>
          <w:sz w:val="24"/>
          <w:szCs w:val="24"/>
          <w:lang w:val="en-GB"/>
        </w:rPr>
        <w:t xml:space="preserve"> as </w:t>
      </w:r>
      <w:r>
        <w:rPr>
          <w:i/>
          <w:sz w:val="24"/>
          <w:szCs w:val="24"/>
          <w:lang w:val="en-GB"/>
        </w:rPr>
        <w:t>tidak</w:t>
      </w:r>
      <w:r>
        <w:rPr>
          <w:i w:val="0"/>
          <w:sz w:val="24"/>
          <w:szCs w:val="24"/>
          <w:lang w:val="en-GB"/>
        </w:rPr>
        <w:t>. The automatic procedure largely did not. The two types of annotator therefore make errors on different inputs and at different rates. The choice of annotator consequently determines not only cost and speed but which errors a corpus will contain.</w:t>
      </w:r>
    </w:p>
    <w:p w14:paraId="1A157C08" w14:textId="77777777" w:rsidR="007F0036" w:rsidRDefault="007F0036" w:rsidP="00B30939">
      <w:pPr>
        <w:ind w:firstLine="244"/>
        <w:jc w:val="both"/>
        <w:rPr>
          <w:sz w:val="24"/>
          <w:szCs w:val="24"/>
          <w:lang w:val="en-GB"/>
        </w:rPr>
      </w:pPr>
    </w:p>
    <w:p w14:paraId="4543ED49" w14:textId="77777777" w:rsidR="007F0036" w:rsidRPr="006546A0" w:rsidRDefault="00C127AD" w:rsidP="007F0036">
      <w:pPr>
        <w:keepNext/>
        <w:tabs>
          <w:tab w:val="left" w:pos="24"/>
        </w:tabs>
        <w:jc w:val="both"/>
        <w:rPr>
          <w:b/>
          <w:sz w:val="26"/>
          <w:szCs w:val="26"/>
        </w:rPr>
      </w:pPr>
      <w:r>
        <w:rPr>
          <w:b/>
          <w:sz w:val="26"/>
          <w:szCs w:val="26"/>
        </w:rPr>
        <w:t>3. Annotation Practice and Its Failure Modes</w:t>
      </w:r>
    </w:p>
    <w:p w14:paraId="59F2F411" w14:textId="77777777" w:rsidR="007F0036" w:rsidRPr="007F0036" w:rsidRDefault="007F0036" w:rsidP="007F0036">
      <w:pPr>
        <w:spacing w:before="120"/>
        <w:ind w:firstLine="244"/>
        <w:jc w:val="both"/>
        <w:rPr>
          <w:sz w:val="24"/>
          <w:szCs w:val="24"/>
          <w:lang w:val="en-GB"/>
        </w:rPr>
      </w:pPr>
      <w:r>
        <w:rPr>
          <w:i w:val="0"/>
          <w:sz w:val="24"/>
          <w:szCs w:val="24"/>
          <w:lang w:val="en-GB"/>
        </w:rPr>
        <w:t>Section 2 described what makes Malaysian code-mixed text difficult to label. This section examines what has been done about it. The annotation strategies reported in the reviewed studies are set out first, arranged by the trade-off each one accepts. The distribution of labels they produce is examined next. The practice of pooling several annotators is examined after that. It is a commonly proposed remedy for unreliable annotation (Artstein and Poesio, 2008; Uma et al., 2021), and it is the one that the Malaysian corpus evidence tests most directly. The section closes with the limits of each family of model when used as an annotator.</w:t>
      </w:r>
    </w:p>
    <w:p w14:paraId="588A1541" w14:textId="77777777" w:rsidR="007F0036" w:rsidRPr="007F0036" w:rsidRDefault="00C127AD" w:rsidP="007F0036">
      <w:pPr>
        <w:keepNext/>
        <w:spacing w:before="120"/>
        <w:jc w:val="both"/>
        <w:rPr>
          <w:b/>
          <w:bCs/>
          <w:sz w:val="24"/>
          <w:szCs w:val="24"/>
          <w:lang w:val="en-GB"/>
        </w:rPr>
      </w:pPr>
      <w:r>
        <w:rPr>
          <w:b/>
          <w:bCs/>
          <w:sz w:val="24"/>
          <w:szCs w:val="24"/>
          <w:lang w:val="en-GB"/>
        </w:rPr>
        <w:t>3.1 Annotation strategies and the fidelity-scalability trade-off</w:t>
      </w:r>
    </w:p>
    <w:p w14:paraId="445E39BA" w14:textId="77777777" w:rsidR="005D60CA" w:rsidRDefault="007F0036" w:rsidP="007F0036">
      <w:pPr>
        <w:spacing w:before="120"/>
        <w:ind w:firstLine="244"/>
        <w:jc w:val="both"/>
        <w:rPr>
          <w:sz w:val="24"/>
          <w:szCs w:val="24"/>
        </w:rPr>
      </w:pPr>
      <w:r>
        <w:rPr>
          <w:i w:val="0"/>
          <w:sz w:val="24"/>
          <w:szCs w:val="24"/>
          <w:lang w:val="en-GB"/>
        </w:rPr>
        <w:t>For low-resource code-mixed text, label fidelity and scale are in tension. A corpus can be labelled carefully or it can be labelled in volume. The strategies reported by the studies reviewed here differ in which of the two they sacrifice. They fall into three tiers: manual annotation, semi-automated annotation, and fully automated generative annotation.</w:t>
      </w:r>
    </w:p>
    <w:p w14:paraId="6DD9699D" w14:textId="77777777" w:rsidR="007F0036" w:rsidRPr="007F0036" w:rsidRDefault="007F0036" w:rsidP="007F0036">
      <w:pPr>
        <w:spacing w:before="120"/>
        <w:ind w:firstLine="244"/>
        <w:jc w:val="both"/>
        <w:rPr>
          <w:sz w:val="24"/>
          <w:szCs w:val="24"/>
          <w:lang w:val="en-GB"/>
        </w:rPr>
      </w:pPr>
      <w:r>
        <w:rPr>
          <w:i w:val="0"/>
          <w:sz w:val="24"/>
          <w:szCs w:val="24"/>
          <w:lang w:val="en-GB"/>
        </w:rPr>
        <w:t xml:space="preserve">The first tier is manual annotation by people. Two of the four Malay-English sentiment resources were built this way, and they are the only two whose labels come from human judgement. Kasmuri and Basiron (2019) drew 5,849 sentences from 23 personal blogs, selected 4,191 for annotation, and retained 2,316 in the finished corpus. They report </w:t>
      </w:r>
      <w:r>
        <w:rPr>
          <w:i/>
          <w:sz w:val="24"/>
          <w:szCs w:val="24"/>
          <w:lang w:val="en-GB"/>
        </w:rPr>
        <w:t>κ</w:t>
      </w:r>
      <w:r>
        <w:rPr>
          <w:i w:val="0"/>
          <w:sz w:val="24"/>
          <w:szCs w:val="24"/>
          <w:lang w:val="en-GB"/>
        </w:rPr>
        <w:t xml:space="preserve"> = 0.83 for the judgement of whether a sentence was opinionated or factual. Kong et al. (2023) collected 108,246 tweets and manually annotated 11,568 of them into three sentiment classes, using three independent annotators working from a written guideline. What both resources illustrate is the cost of choosing fidelity rather than a defect in the method. The labour that produces reliable labels is also what limits how far a manually annotated corpus can grow. Kasmuri and Basiron retained 40% of the sentences they started with, and Kong et al. labelled 11% of the tweets they collected.</w:t>
      </w:r>
    </w:p>
    <w:p w14:paraId="48B58C18" w14:textId="77777777" w:rsidR="007F0036" w:rsidRPr="00E10A8D" w:rsidRDefault="007F0036" w:rsidP="00E10A8D">
      <w:pPr>
        <w:spacing w:before="120"/>
        <w:ind w:firstLine="244"/>
        <w:jc w:val="both"/>
        <w:rPr>
          <w:lang w:val="en-GB"/>
        </w:rPr>
      </w:pPr>
      <w:r>
        <w:rPr>
          <w:i w:val="0"/>
          <w:sz w:val="24"/>
          <w:szCs w:val="24"/>
          <w:lang w:val="en-GB"/>
        </w:rPr>
        <w:t>The second tier is semi-automated annotation. It makes the opposite choice, using existing tools to label at volume and accepting the limitations of those tools as the price. Mohd Shamsuddin et al. (2024) built MESocSentiment this way. They collected 229,566 tweets carrying the "#Malaysia" keyword and reduced the set to 138,646 in pre-processing. They then applied the Malaya and Lingua libraries to identify code-switched posts, which left 20,226 tweets. Sentiment labels were assigned by majority vote among three existing sentiment analysers. The authors state their motivation directly: the language identification libraries "reduced the need to find fluent speakers in Malay and English to classify the tweets". The reasoning is justifiable, and there is evidence from other labelling tasks that automated annotators can match or exceed human crowd workers (Gilardi et al., 2023). What the tier concedes is that the labels can be no more competent than the tools that produce them. Whatever those tools do not recognise, the labels do not record.</w:t>
      </w:r>
    </w:p>
    <w:p w14:paraId="77CC4976" w14:textId="77777777" w:rsidR="00835475" w:rsidRDefault="007F0036" w:rsidP="00EC3247">
      <w:pPr>
        <w:spacing w:before="120"/>
        <w:ind w:firstLine="244"/>
        <w:jc w:val="both"/>
        <w:rPr>
          <w:b/>
          <w:bCs/>
          <w:sz w:val="24"/>
          <w:szCs w:val="24"/>
          <w:lang w:val="en-GB"/>
        </w:rPr>
      </w:pPr>
      <w:r>
        <w:rPr>
          <w:i w:val="0"/>
          <w:sz w:val="24"/>
          <w:szCs w:val="24"/>
          <w:lang w:val="en-GB"/>
        </w:rPr>
        <w:t>The third tier replaces those tools with generative models used directly as annotators. A generative model is not restricted to a fixed vocabulary. It can therefore, in principle, interpret an unfamiliar spelling or an unseen slang term from its context, which is the capability the second tier lacks. In principle, this removes the trade-off. The peer-reviewed evidence does not yet support that conclusion. Jadhav et al. (2025) evaluated generative annotators on Marathi, an Indo-Aryan language of western India, across four classification tasks including sentiment analysis. They found that two generative large language models, GPT-4o and Llama 3.1 405B, scored below a fine-tuned BERT baseline by average accuracy margins of 10.2% and 14.1% respectively. BERT is a bidirectional transformer encoder pre-trained on unlabelled text (Devlin et al., 2019). The authors conclude that fine-tuned transformers remain necessary where linguistic resources are scarce. Marathi is morphologically rich where Malay is not, so the result limits what can be expected of the tier rather than measuring its performance on Malay-English text. The third tier is the least evidenced of the three, and no study examined here evaluates generative annotation on Malaysian code-mixed text.</w:t>
      </w:r>
    </w:p>
    <w:p w14:paraId="732B1E6A" w14:textId="77777777" w:rsidR="007F0036" w:rsidRPr="00ED77BD" w:rsidRDefault="007F0036" w:rsidP="00ED77BD">
      <w:pPr>
        <w:keepNext/>
        <w:spacing w:before="120"/>
        <w:ind w:firstLine="244"/>
        <w:jc w:val="center"/>
        <w:rPr>
          <w:b/>
          <w:bCs/>
          <w:sz w:val="24"/>
          <w:szCs w:val="24"/>
          <w:lang w:val="en-GB"/>
        </w:rPr>
      </w:pPr>
      <w:r>
        <w:rPr>
          <w:b/>
          <w:bCs/>
          <w:sz w:val="24"/>
          <w:szCs w:val="24"/>
          <w:lang w:val="en-GB"/>
        </w:rPr>
        <w:t xml:space="preserve">Table 1. </w:t>
      </w:r>
      <w:r>
        <w:rPr>
          <w:b/>
          <w:bCs/>
          <w:sz w:val="24"/>
          <w:szCs w:val="24"/>
        </w:rPr>
        <w:t>Annotation Strategies for Malaysian Malay-English Code-Mixed Sentiment Data</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417"/>
        <w:gridCol w:w="1600"/>
        <w:gridCol w:w="1843"/>
        <w:gridCol w:w="2551"/>
      </w:tblGrid>
      <w:tr w:rsidR="007F0036" w14:paraId="0FB42E8D" w14:textId="77777777" w:rsidTr="008C0BA5">
        <w:trPr>
          <w:jc w:val="center"/>
          <w:cantSplit/>
          <w:tblHeader/>
        </w:trPr>
        <w:tc>
          <w:tcPr>
            <w:tcW w:w="1656" w:type="dxa"/>
            <w:shd w:val="clear" w:color="auto" w:fill="4BACC6"/>
            <w:vAlign w:val="center"/>
          </w:tcPr>
          <w:p w14:paraId="583AADBC" w14:textId="77777777" w:rsidR="007F0036" w:rsidRDefault="007F0036" w:rsidP="007F0036">
            <w:pPr>
              <w:keepNext/>
              <w:tabs>
                <w:tab w:val="left" w:pos="24"/>
              </w:tabs>
              <w:jc w:val="left"/>
              <w:rPr>
                <w:b/>
                <w:color w:val="FFFFFF"/>
                <w:sz w:val="24"/>
                <w:szCs w:val="24"/>
              </w:rPr>
            </w:pPr>
            <w:r>
              <w:rPr>
                <w:b/>
                <w:bCs/>
                <w:sz w:val="20"/>
                <w:szCs w:val="24"/>
                <w:lang w:val="en-GB"/>
              </w:rPr>
              <w:t>Tier</w:t>
            </w:r>
          </w:p>
        </w:tc>
        <w:tc>
          <w:tcPr>
            <w:tcW w:w="1417" w:type="dxa"/>
            <w:shd w:val="clear" w:color="auto" w:fill="4BACC6"/>
            <w:vAlign w:val="center"/>
          </w:tcPr>
          <w:p w14:paraId="5E27EE6B" w14:textId="77777777" w:rsidR="007F0036" w:rsidRDefault="007F0036" w:rsidP="007F0036">
            <w:pPr>
              <w:keepNext/>
              <w:tabs>
                <w:tab w:val="left" w:pos="24"/>
              </w:tabs>
              <w:jc w:val="left"/>
              <w:rPr>
                <w:b/>
                <w:color w:val="FFFFFF"/>
                <w:sz w:val="24"/>
                <w:szCs w:val="24"/>
              </w:rPr>
            </w:pPr>
            <w:r>
              <w:rPr>
                <w:b/>
                <w:bCs/>
                <w:sz w:val="20"/>
                <w:szCs w:val="24"/>
                <w:lang w:val="en-GB"/>
              </w:rPr>
              <w:t>Regional example</w:t>
            </w:r>
          </w:p>
        </w:tc>
        <w:tc>
          <w:tcPr>
            <w:tcW w:w="1600" w:type="dxa"/>
            <w:shd w:val="clear" w:color="auto" w:fill="4BACC6"/>
            <w:vAlign w:val="center"/>
          </w:tcPr>
          <w:p w14:paraId="3CF27901" w14:textId="77777777" w:rsidR="007F0036" w:rsidRDefault="007F0036" w:rsidP="007F0036">
            <w:pPr>
              <w:keepNext/>
              <w:tabs>
                <w:tab w:val="left" w:pos="24"/>
              </w:tabs>
              <w:jc w:val="left"/>
              <w:rPr>
                <w:b/>
                <w:color w:val="FFFFFF"/>
                <w:sz w:val="24"/>
                <w:szCs w:val="24"/>
              </w:rPr>
            </w:pPr>
            <w:r>
              <w:rPr>
                <w:b/>
                <w:bCs/>
                <w:sz w:val="20"/>
                <w:szCs w:val="24"/>
                <w:lang w:val="en-GB"/>
              </w:rPr>
              <w:t>Scale achieved</w:t>
            </w:r>
          </w:p>
        </w:tc>
        <w:tc>
          <w:tcPr>
            <w:tcW w:w="1843" w:type="dxa"/>
            <w:shd w:val="clear" w:color="auto" w:fill="4BACC6"/>
            <w:vAlign w:val="center"/>
          </w:tcPr>
          <w:p w14:paraId="3D18F80D" w14:textId="77777777" w:rsidR="007F0036" w:rsidRDefault="007F0036" w:rsidP="007F0036">
            <w:pPr>
              <w:keepNext/>
              <w:tabs>
                <w:tab w:val="left" w:pos="24"/>
              </w:tabs>
              <w:jc w:val="left"/>
              <w:rPr>
                <w:b/>
                <w:color w:val="FFFFFF"/>
                <w:sz w:val="24"/>
                <w:szCs w:val="24"/>
              </w:rPr>
            </w:pPr>
            <w:r>
              <w:rPr>
                <w:b/>
                <w:bCs/>
                <w:sz w:val="20"/>
                <w:szCs w:val="24"/>
                <w:lang w:val="en-GB"/>
              </w:rPr>
              <w:t>Evidence of fidelity</w:t>
            </w:r>
          </w:p>
        </w:tc>
        <w:tc>
          <w:tcPr>
            <w:tcW w:w="2551" w:type="dxa"/>
            <w:shd w:val="clear" w:color="auto" w:fill="4BACC6"/>
            <w:vAlign w:val="center"/>
          </w:tcPr>
          <w:p w14:paraId="01F0D8A7" w14:textId="77777777" w:rsidR="007F0036" w:rsidRDefault="007F0036" w:rsidP="007F0036">
            <w:pPr>
              <w:keepNext/>
              <w:tabs>
                <w:tab w:val="left" w:pos="24"/>
              </w:tabs>
              <w:jc w:val="left"/>
              <w:rPr>
                <w:b/>
                <w:color w:val="FFFFFF"/>
                <w:sz w:val="24"/>
                <w:szCs w:val="24"/>
              </w:rPr>
            </w:pPr>
            <w:r>
              <w:rPr>
                <w:b/>
                <w:bCs/>
                <w:sz w:val="20"/>
                <w:szCs w:val="24"/>
                <w:lang w:val="en-GB"/>
              </w:rPr>
              <w:t>What is conceded</w:t>
            </w:r>
          </w:p>
        </w:tc>
      </w:tr>
      <w:tr w:rsidR="007F0036" w14:paraId="05613CBB" w14:textId="77777777" w:rsidTr="008C0BA5">
        <w:trPr>
          <w:cantSplit/>
          <w:jc w:val="center"/>
        </w:trPr>
        <w:tc>
          <w:tcPr>
            <w:tcW w:w="1656" w:type="dxa"/>
            <w:shd w:val="clear" w:color="auto" w:fill="4BACC6"/>
            <w:vAlign w:val="center"/>
          </w:tcPr>
          <w:p w14:paraId="0E6A8D54" w14:textId="77777777" w:rsidR="007F0036" w:rsidRDefault="007F0036" w:rsidP="007F0036">
            <w:pPr>
              <w:tabs>
                <w:tab w:val="left" w:pos="24"/>
              </w:tabs>
              <w:jc w:val="left"/>
              <w:rPr>
                <w:b/>
                <w:color w:val="FFFFFF"/>
                <w:sz w:val="24"/>
                <w:szCs w:val="24"/>
              </w:rPr>
            </w:pPr>
            <w:r>
              <w:rPr>
                <w:sz w:val="20"/>
                <w:szCs w:val="24"/>
                <w:lang w:val="en-GB"/>
              </w:rPr>
              <w:t>Manual</w:t>
            </w:r>
          </w:p>
        </w:tc>
        <w:tc>
          <w:tcPr>
            <w:tcW w:w="1417" w:type="dxa"/>
            <w:shd w:val="clear" w:color="auto" w:fill="D8D8D8"/>
            <w:vAlign w:val="center"/>
          </w:tcPr>
          <w:p w14:paraId="28BC792D" w14:textId="77777777" w:rsidR="007F0036" w:rsidRDefault="007F0036" w:rsidP="007F0036">
            <w:pPr>
              <w:tabs>
                <w:tab w:val="left" w:pos="24"/>
              </w:tabs>
              <w:jc w:val="left"/>
              <w:rPr>
                <w:sz w:val="24"/>
                <w:szCs w:val="24"/>
              </w:rPr>
            </w:pPr>
            <w:proofErr w:type="spellStart"/>
            <w:r>
              <w:rPr>
                <w:sz w:val="20"/>
                <w:szCs w:val="24"/>
                <w:lang w:val="en-GB"/>
              </w:rPr>
              <w:t>Kasmuri</w:t>
            </w:r>
            <w:proofErr w:type="spellEnd"/>
            <w:r>
              <w:rPr>
                <w:sz w:val="20"/>
                <w:szCs w:val="24"/>
                <w:lang w:val="en-GB"/>
              </w:rPr>
              <w:t xml:space="preserve"> and </w:t>
            </w:r>
            <w:proofErr w:type="spellStart"/>
            <w:r>
              <w:rPr>
                <w:sz w:val="20"/>
                <w:szCs w:val="24"/>
                <w:lang w:val="en-GB"/>
              </w:rPr>
              <w:t>Basiron</w:t>
            </w:r>
            <w:proofErr w:type="spellEnd"/>
            <w:r>
              <w:rPr>
                <w:sz w:val="20"/>
                <w:szCs w:val="24"/>
                <w:lang w:val="en-GB"/>
              </w:rPr>
              <w:t xml:space="preserve"> (2019)</w:t>
            </w:r>
          </w:p>
        </w:tc>
        <w:tc>
          <w:tcPr>
            <w:tcW w:w="1600" w:type="dxa"/>
            <w:shd w:val="clear" w:color="auto" w:fill="D8D8D8"/>
            <w:vAlign w:val="center"/>
          </w:tcPr>
          <w:p w14:paraId="61818CE3" w14:textId="77777777" w:rsidR="007F0036" w:rsidRDefault="007F0036" w:rsidP="007F0036">
            <w:pPr>
              <w:tabs>
                <w:tab w:val="left" w:pos="24"/>
              </w:tabs>
              <w:jc w:val="left"/>
              <w:rPr>
                <w:sz w:val="24"/>
                <w:szCs w:val="24"/>
              </w:rPr>
            </w:pPr>
            <w:r>
              <w:rPr>
                <w:sz w:val="20"/>
                <w:szCs w:val="24"/>
                <w:lang w:val="en-GB"/>
              </w:rPr>
              <w:t>2,316 sentences retained from 5,849 candidates, drawn from 23 blogs</w:t>
            </w:r>
          </w:p>
        </w:tc>
        <w:tc>
          <w:tcPr>
            <w:tcW w:w="1843" w:type="dxa"/>
            <w:shd w:val="clear" w:color="auto" w:fill="D8D8D8"/>
            <w:vAlign w:val="center"/>
          </w:tcPr>
          <w:p w14:paraId="4206BCA0" w14:textId="77777777" w:rsidR="007F0036" w:rsidRDefault="007F0036" w:rsidP="007F0036">
            <w:pPr>
              <w:tabs>
                <w:tab w:val="left" w:pos="24"/>
              </w:tabs>
              <w:jc w:val="left"/>
              <w:rPr>
                <w:sz w:val="24"/>
                <w:szCs w:val="24"/>
              </w:rPr>
            </w:pPr>
            <w:r>
              <w:rPr>
                <w:sz w:val="20"/>
                <w:szCs w:val="24"/>
                <w:lang w:val="en-GB"/>
              </w:rPr>
              <w:t>κ = 0.83, for a binary opinionated-or-factual judgement</w:t>
            </w:r>
          </w:p>
        </w:tc>
        <w:tc>
          <w:tcPr>
            <w:tcW w:w="2551" w:type="dxa"/>
            <w:shd w:val="clear" w:color="auto" w:fill="D8D8D8"/>
            <w:vAlign w:val="center"/>
          </w:tcPr>
          <w:p w14:paraId="177F3000" w14:textId="77777777" w:rsidR="007F0036" w:rsidRDefault="007F0036" w:rsidP="007F0036">
            <w:pPr>
              <w:tabs>
                <w:tab w:val="left" w:pos="24"/>
              </w:tabs>
              <w:jc w:val="left"/>
              <w:rPr>
                <w:sz w:val="24"/>
                <w:szCs w:val="24"/>
              </w:rPr>
            </w:pPr>
            <w:r>
              <w:rPr>
                <w:sz w:val="20"/>
                <w:szCs w:val="24"/>
                <w:lang w:val="en-GB"/>
              </w:rPr>
              <w:t>Scale</w:t>
            </w:r>
          </w:p>
        </w:tc>
      </w:tr>
      <w:tr w:rsidR="00ED77BD" w14:paraId="526E33B1" w14:textId="77777777" w:rsidTr="008C0BA5">
        <w:trPr>
          <w:jc w:val="center"/>
          <w:cantSplit/>
        </w:trPr>
        <w:tc>
          <w:tcPr>
            <w:tcW w:w="1656" w:type="dxa"/>
            <w:shd w:val="clear" w:color="auto" w:fill="4BACC6"/>
            <w:vAlign w:val="center"/>
          </w:tcPr>
          <w:p w14:paraId="7E638568" w14:textId="77777777" w:rsidR="00ED77BD" w:rsidRDefault="00ED77BD" w:rsidP="00ED77BD">
            <w:pPr>
              <w:tabs>
                <w:tab w:val="left" w:pos="24"/>
              </w:tabs>
              <w:jc w:val="left"/>
              <w:rPr>
                <w:b/>
                <w:color w:val="FFFFFF"/>
                <w:sz w:val="24"/>
                <w:szCs w:val="24"/>
              </w:rPr>
            </w:pPr>
            <w:r>
              <w:rPr>
                <w:sz w:val="20"/>
                <w:szCs w:val="24"/>
                <w:lang w:val="en-GB"/>
              </w:rPr>
              <w:t>Manual</w:t>
            </w:r>
          </w:p>
        </w:tc>
        <w:tc>
          <w:tcPr>
            <w:tcW w:w="1417" w:type="dxa"/>
            <w:vAlign w:val="center"/>
          </w:tcPr>
          <w:p w14:paraId="4B01DED1" w14:textId="77777777" w:rsidR="00ED77BD" w:rsidRDefault="00ED77BD" w:rsidP="00ED77BD">
            <w:pPr>
              <w:tabs>
                <w:tab w:val="left" w:pos="24"/>
              </w:tabs>
              <w:jc w:val="left"/>
              <w:rPr>
                <w:sz w:val="24"/>
                <w:szCs w:val="24"/>
              </w:rPr>
            </w:pPr>
            <w:r>
              <w:rPr>
                <w:sz w:val="20"/>
                <w:szCs w:val="24"/>
                <w:lang w:val="en-GB"/>
              </w:rPr>
              <w:t>Kong et al. (2023)</w:t>
            </w:r>
          </w:p>
        </w:tc>
        <w:tc>
          <w:tcPr>
            <w:tcW w:w="1600" w:type="dxa"/>
            <w:vAlign w:val="center"/>
          </w:tcPr>
          <w:p w14:paraId="21CDD178" w14:textId="77777777" w:rsidR="00ED77BD" w:rsidRDefault="00ED77BD" w:rsidP="00ED77BD">
            <w:pPr>
              <w:tabs>
                <w:tab w:val="left" w:pos="24"/>
              </w:tabs>
              <w:jc w:val="left"/>
              <w:rPr>
                <w:sz w:val="24"/>
                <w:szCs w:val="24"/>
              </w:rPr>
            </w:pPr>
            <w:r>
              <w:rPr>
                <w:sz w:val="20"/>
                <w:szCs w:val="24"/>
                <w:lang w:val="en-GB"/>
              </w:rPr>
              <w:t>11,568 tweets annotated from 108,246 collected</w:t>
            </w:r>
          </w:p>
        </w:tc>
        <w:tc>
          <w:tcPr>
            <w:tcW w:w="1843" w:type="dxa"/>
            <w:vAlign w:val="center"/>
          </w:tcPr>
          <w:p w14:paraId="6FE99E64" w14:textId="77777777" w:rsidR="00ED77BD" w:rsidRDefault="00ED77BD" w:rsidP="00ED77BD">
            <w:pPr>
              <w:tabs>
                <w:tab w:val="left" w:pos="24"/>
              </w:tabs>
              <w:jc w:val="left"/>
              <w:rPr>
                <w:sz w:val="24"/>
                <w:szCs w:val="24"/>
              </w:rPr>
            </w:pPr>
            <w:r>
              <w:rPr>
                <w:sz w:val="20"/>
                <w:szCs w:val="24"/>
                <w:lang w:val="en-GB"/>
              </w:rPr>
              <w:t>Three annotators and a written guideline; no coefficient reported</w:t>
            </w:r>
          </w:p>
        </w:tc>
        <w:tc>
          <w:tcPr>
            <w:tcW w:w="2551" w:type="dxa"/>
            <w:vAlign w:val="center"/>
          </w:tcPr>
          <w:p w14:paraId="706E4C33" w14:textId="77777777" w:rsidR="00ED77BD" w:rsidRDefault="00ED77BD" w:rsidP="00ED77BD">
            <w:pPr>
              <w:tabs>
                <w:tab w:val="left" w:pos="24"/>
              </w:tabs>
              <w:jc w:val="left"/>
              <w:rPr>
                <w:sz w:val="24"/>
                <w:szCs w:val="24"/>
              </w:rPr>
            </w:pPr>
            <w:r>
              <w:rPr>
                <w:sz w:val="20"/>
                <w:szCs w:val="24"/>
                <w:lang w:val="en-GB"/>
              </w:rPr>
              <w:t>Scale</w:t>
            </w:r>
          </w:p>
        </w:tc>
      </w:tr>
      <w:tr w:rsidR="00ED77BD" w14:paraId="00E85C6F" w14:textId="77777777" w:rsidTr="008C0BA5">
        <w:trPr>
          <w:jc w:val="center"/>
          <w:cantSplit/>
        </w:trPr>
        <w:tc>
          <w:tcPr>
            <w:tcW w:w="1656" w:type="dxa"/>
            <w:shd w:val="clear" w:color="auto" w:fill="4BACC6"/>
            <w:vAlign w:val="center"/>
          </w:tcPr>
          <w:p w14:paraId="68C1EE2E" w14:textId="77777777" w:rsidR="00ED77BD" w:rsidRDefault="00ED77BD" w:rsidP="00ED77BD">
            <w:pPr>
              <w:tabs>
                <w:tab w:val="left" w:pos="24"/>
              </w:tabs>
              <w:jc w:val="left"/>
              <w:rPr>
                <w:b/>
                <w:color w:val="FFFFFF"/>
                <w:sz w:val="24"/>
                <w:szCs w:val="24"/>
              </w:rPr>
            </w:pPr>
            <w:r>
              <w:rPr>
                <w:sz w:val="20"/>
                <w:szCs w:val="24"/>
                <w:lang w:val="en-GB"/>
              </w:rPr>
              <w:t>Semi-automated</w:t>
            </w:r>
          </w:p>
        </w:tc>
        <w:tc>
          <w:tcPr>
            <w:tcW w:w="1417" w:type="dxa"/>
            <w:shd w:val="clear" w:color="auto" w:fill="D8D8D8"/>
            <w:vAlign w:val="center"/>
          </w:tcPr>
          <w:p w14:paraId="72DB5597" w14:textId="77777777" w:rsidR="00ED77BD" w:rsidRDefault="00ED77BD" w:rsidP="00ED77BD">
            <w:pPr>
              <w:tabs>
                <w:tab w:val="left" w:pos="24"/>
              </w:tabs>
              <w:jc w:val="left"/>
              <w:rPr>
                <w:sz w:val="24"/>
                <w:szCs w:val="24"/>
              </w:rPr>
            </w:pPr>
            <w:r>
              <w:rPr>
                <w:sz w:val="20"/>
                <w:szCs w:val="24"/>
                <w:lang w:val="en-GB"/>
              </w:rPr>
              <w:t>Mohd Shamsuddin et al. (2024)</w:t>
            </w:r>
          </w:p>
        </w:tc>
        <w:tc>
          <w:tcPr>
            <w:tcW w:w="1600" w:type="dxa"/>
            <w:shd w:val="clear" w:color="auto" w:fill="D8D8D8"/>
            <w:vAlign w:val="center"/>
          </w:tcPr>
          <w:p w14:paraId="636F7DDC" w14:textId="77777777" w:rsidR="00ED77BD" w:rsidRDefault="00ED77BD" w:rsidP="00ED77BD">
            <w:pPr>
              <w:tabs>
                <w:tab w:val="left" w:pos="24"/>
              </w:tabs>
              <w:jc w:val="left"/>
              <w:rPr>
                <w:sz w:val="24"/>
                <w:szCs w:val="24"/>
              </w:rPr>
            </w:pPr>
            <w:r>
              <w:rPr>
                <w:sz w:val="20"/>
                <w:szCs w:val="24"/>
                <w:lang w:val="en-GB"/>
              </w:rPr>
              <w:t>19,714 posts from 229,566 collected</w:t>
            </w:r>
          </w:p>
        </w:tc>
        <w:tc>
          <w:tcPr>
            <w:tcW w:w="1843" w:type="dxa"/>
            <w:shd w:val="clear" w:color="auto" w:fill="D8D8D8"/>
            <w:vAlign w:val="center"/>
          </w:tcPr>
          <w:p w14:paraId="473C5270" w14:textId="77777777" w:rsidR="00ED77BD" w:rsidRDefault="00ED77BD" w:rsidP="00ED77BD">
            <w:pPr>
              <w:tabs>
                <w:tab w:val="left" w:pos="24"/>
              </w:tabs>
              <w:jc w:val="left"/>
              <w:rPr>
                <w:sz w:val="24"/>
                <w:szCs w:val="24"/>
              </w:rPr>
            </w:pPr>
            <w:r>
              <w:rPr>
                <w:sz w:val="20"/>
                <w:szCs w:val="24"/>
                <w:lang w:val="en-GB"/>
              </w:rPr>
              <w:t>None reported; the pipeline has no human annotation stage</w:t>
            </w:r>
          </w:p>
        </w:tc>
        <w:tc>
          <w:tcPr>
            <w:tcW w:w="2551" w:type="dxa"/>
            <w:shd w:val="clear" w:color="auto" w:fill="D8D8D8"/>
            <w:vAlign w:val="center"/>
          </w:tcPr>
          <w:p w14:paraId="703373A4" w14:textId="77777777" w:rsidR="00ED77BD" w:rsidRDefault="00ED77BD" w:rsidP="00ED77BD">
            <w:pPr>
              <w:tabs>
                <w:tab w:val="left" w:pos="24"/>
              </w:tabs>
              <w:jc w:val="left"/>
              <w:rPr>
                <w:sz w:val="24"/>
                <w:szCs w:val="24"/>
              </w:rPr>
            </w:pPr>
            <w:r>
              <w:rPr>
                <w:sz w:val="20"/>
                <w:szCs w:val="24"/>
                <w:lang w:val="en-GB"/>
              </w:rPr>
              <w:t>Demonstrable fidelity</w:t>
            </w:r>
          </w:p>
        </w:tc>
      </w:tr>
      <w:tr w:rsidR="00ED77BD" w14:paraId="6E456B61" w14:textId="77777777" w:rsidTr="008C0BA5">
        <w:trPr>
          <w:jc w:val="center"/>
          <w:cantSplit/>
        </w:trPr>
        <w:tc>
          <w:tcPr>
            <w:tcW w:w="1656" w:type="dxa"/>
            <w:shd w:val="clear" w:color="auto" w:fill="4BACC6"/>
            <w:vAlign w:val="center"/>
          </w:tcPr>
          <w:p w14:paraId="6D2EB98E" w14:textId="77777777" w:rsidR="00ED77BD" w:rsidRPr="007F0036" w:rsidRDefault="00ED77BD" w:rsidP="00ED77BD">
            <w:pPr>
              <w:tabs>
                <w:tab w:val="left" w:pos="24"/>
              </w:tabs>
              <w:jc w:val="left"/>
              <w:rPr>
                <w:sz w:val="24"/>
                <w:szCs w:val="24"/>
                <w:lang w:val="en-GB"/>
              </w:rPr>
            </w:pPr>
            <w:r>
              <w:rPr>
                <w:sz w:val="20"/>
                <w:szCs w:val="24"/>
                <w:lang w:val="en-GB"/>
              </w:rPr>
              <w:t>Fully automated, generative</w:t>
            </w:r>
          </w:p>
        </w:tc>
        <w:tc>
          <w:tcPr>
            <w:tcW w:w="1417" w:type="dxa"/>
            <w:shd w:val="clear" w:color="auto" w:fill="D8D8D8"/>
            <w:vAlign w:val="center"/>
          </w:tcPr>
          <w:p w14:paraId="3491755F" w14:textId="77777777" w:rsidR="00ED77BD" w:rsidRPr="007F0036" w:rsidRDefault="00ED77BD" w:rsidP="00ED77BD">
            <w:pPr>
              <w:tabs>
                <w:tab w:val="left" w:pos="24"/>
              </w:tabs>
              <w:jc w:val="left"/>
              <w:rPr>
                <w:sz w:val="24"/>
                <w:szCs w:val="24"/>
                <w:lang w:val="en-GB"/>
              </w:rPr>
            </w:pPr>
            <w:r>
              <w:rPr>
                <w:sz w:val="20"/>
                <w:szCs w:val="24"/>
                <w:lang w:val="en-GB"/>
              </w:rPr>
              <w:t>None published for Malay-English</w:t>
            </w:r>
          </w:p>
        </w:tc>
        <w:tc>
          <w:tcPr>
            <w:tcW w:w="1600" w:type="dxa"/>
            <w:shd w:val="clear" w:color="auto" w:fill="D8D8D8"/>
            <w:vAlign w:val="center"/>
          </w:tcPr>
          <w:p w14:paraId="4B509B66" w14:textId="77777777" w:rsidR="00ED77BD" w:rsidRPr="007F0036" w:rsidRDefault="00ED77BD" w:rsidP="00ED77BD">
            <w:pPr>
              <w:tabs>
                <w:tab w:val="left" w:pos="24"/>
              </w:tabs>
              <w:jc w:val="left"/>
              <w:rPr>
                <w:sz w:val="24"/>
                <w:szCs w:val="24"/>
                <w:lang w:val="en-GB"/>
              </w:rPr>
            </w:pPr>
            <w:r>
              <w:rPr>
                <w:sz w:val="20"/>
                <w:szCs w:val="24"/>
                <w:lang w:val="en-GB"/>
              </w:rPr>
              <w:t>—</w:t>
            </w:r>
          </w:p>
        </w:tc>
        <w:tc>
          <w:tcPr>
            <w:tcW w:w="1843" w:type="dxa"/>
            <w:shd w:val="clear" w:color="auto" w:fill="D8D8D8"/>
            <w:vAlign w:val="center"/>
          </w:tcPr>
          <w:p w14:paraId="6E666262" w14:textId="77777777" w:rsidR="00ED77BD" w:rsidRPr="007F0036" w:rsidRDefault="00ED77BD" w:rsidP="00ED77BD">
            <w:pPr>
              <w:tabs>
                <w:tab w:val="left" w:pos="24"/>
              </w:tabs>
              <w:jc w:val="left"/>
              <w:rPr>
                <w:sz w:val="24"/>
                <w:szCs w:val="24"/>
                <w:lang w:val="en-GB"/>
              </w:rPr>
            </w:pPr>
            <w:r>
              <w:rPr>
                <w:sz w:val="20"/>
                <w:szCs w:val="24"/>
                <w:lang w:val="en-GB"/>
              </w:rPr>
              <w:t>—</w:t>
            </w:r>
          </w:p>
        </w:tc>
        <w:tc>
          <w:tcPr>
            <w:tcW w:w="2551" w:type="dxa"/>
            <w:shd w:val="clear" w:color="auto" w:fill="D8D8D8"/>
            <w:vAlign w:val="center"/>
          </w:tcPr>
          <w:p w14:paraId="68D92AA2" w14:textId="77777777" w:rsidR="00ED77BD" w:rsidRPr="007F0036" w:rsidRDefault="00ED77BD" w:rsidP="00ED77BD">
            <w:pPr>
              <w:tabs>
                <w:tab w:val="left" w:pos="24"/>
              </w:tabs>
              <w:jc w:val="left"/>
              <w:rPr>
                <w:sz w:val="24"/>
                <w:szCs w:val="24"/>
                <w:lang w:val="en-GB"/>
              </w:rPr>
            </w:pPr>
            <w:r>
              <w:rPr>
                <w:sz w:val="20"/>
                <w:szCs w:val="24"/>
                <w:lang w:val="en-GB"/>
              </w:rPr>
              <w:t>Reliability precisely where linguistic resources are scarce (Jadhav et al., 2025)</w:t>
            </w:r>
          </w:p>
        </w:tc>
      </w:tr>
    </w:tbl>
    <w:p w14:paraId="783562F8" w14:textId="77777777" w:rsidR="00ED77BD" w:rsidRPr="007F0036" w:rsidRDefault="00C127AD" w:rsidP="00ED77BD">
      <w:pPr>
        <w:keepNext/>
        <w:spacing w:before="120"/>
        <w:jc w:val="both"/>
        <w:rPr>
          <w:b/>
          <w:bCs/>
          <w:sz w:val="24"/>
          <w:szCs w:val="24"/>
          <w:lang w:val="en-GB"/>
        </w:rPr>
      </w:pPr>
      <w:r>
        <w:rPr>
          <w:b/>
          <w:bCs/>
          <w:sz w:val="24"/>
          <w:szCs w:val="24"/>
          <w:lang w:val="en-GB"/>
        </w:rPr>
        <w:t>3.2 Two sources of neutral-label skew</w:t>
      </w:r>
    </w:p>
    <w:p w14:paraId="3322B250" w14:textId="77777777" w:rsidR="00ED77BD" w:rsidRPr="0005406F" w:rsidRDefault="00ED77BD" w:rsidP="0005406F">
      <w:pPr>
        <w:spacing w:before="120"/>
        <w:ind w:firstLine="244"/>
        <w:jc w:val="both"/>
        <w:rPr>
          <w:lang w:val="en-GB"/>
        </w:rPr>
      </w:pPr>
      <w:r>
        <w:rPr>
          <w:i w:val="0"/>
          <w:sz w:val="24"/>
          <w:szCs w:val="24"/>
          <w:lang w:val="en-GB"/>
        </w:rPr>
        <w:t>The clearest Malaysian evidence of what the second tier costs is the class distribution of the corpus it produced. MESocSentiment is labelled 78.23% neutral, 16.33% positive and 5.44% negative across 19,714 posts (Mohd Shamsuddin et al., 2024). Two reasons support interpreting that distribution as an artefact of the labelling method rather than as a property of Malaysian discourse. The first is that the corpus was collected under the "#Malaysia" keyword across sports, politics and the arts, topics that would be expected to attract opinion rather than neutral comment. The second is that a comparable corpus of Malaysian tweets labelled by human annotators is only 23.6% neutral (Kong et al., 2023). This section separates the two sources at work in that skew.</w:t>
      </w:r>
    </w:p>
    <w:p w14:paraId="551F8865" w14:textId="77777777" w:rsidR="00ED77BD" w:rsidRDefault="00ED77BD" w:rsidP="00ED77BD">
      <w:pPr>
        <w:spacing w:before="120"/>
        <w:ind w:firstLine="244"/>
        <w:jc w:val="both"/>
        <w:rPr>
          <w:sz w:val="24"/>
          <w:szCs w:val="24"/>
          <w:lang w:val="en-GB"/>
        </w:rPr>
      </w:pPr>
      <w:r>
        <w:rPr>
          <w:i w:val="0"/>
          <w:sz w:val="24"/>
          <w:szCs w:val="24"/>
          <w:lang w:val="en-GB"/>
        </w:rPr>
        <w:t>The first source is the behaviour of a scoring function that finds nothing to score. Lexicon-based sentiment tools work by matching each word or phrase in a text against a sentiment lexicon and aggregating the scores of the matched words into an overall score (Selvaraju et al., 2024). That score is then divided into classes by threshold. VADER, one of the three analysers used to build MESocSentiment, sets its classification thresholds at −0.05 and +0.05 on a normalised score running from −1 to 1 (Hutto and Gilbert, 2014). Two consequences follow from combining those two facts, and this review states them as an inference rather than as a reported finding. A text whose affect-bearing words are absent from the lexicon contributes little or nothing to the aggregate score. Its score therefore remains within the neutral band, and it is returned as neutral. Under this view, neutral is not always a judgement that a text is affectively balanced. It can also be the default output when nothing was recognised.</w:t>
      </w:r>
    </w:p>
    <w:p w14:paraId="35C062A8" w14:textId="77777777" w:rsidR="00D714BA" w:rsidRDefault="00D714BA" w:rsidP="00ED77BD">
      <w:pPr>
        <w:spacing w:before="120"/>
        <w:ind w:firstLine="244"/>
        <w:jc w:val="both"/>
        <w:rPr>
          <w:sz w:val="24"/>
          <w:szCs w:val="24"/>
        </w:rPr>
      </w:pPr>
      <w:r>
        <w:rPr>
          <w:i w:val="0"/>
          <w:sz w:val="24"/>
          <w:szCs w:val="24"/>
        </w:rPr>
        <w:t xml:space="preserve">The corpus authors' own error analysis indicates that this mechanism operates on their data. Alongside the corpus, Mohd Shamsuddin et al. (2024) present two small tables comparing the ensemble's label with the correct label. All three of the misclassified examples they give are neutral labels that should have been positive. In all three, the sentiment is carried by Malay: </w:t>
      </w:r>
      <w:r>
        <w:rPr>
          <w:i/>
          <w:sz w:val="24"/>
          <w:szCs w:val="24"/>
        </w:rPr>
        <w:t>memang cantik sangat</w:t>
      </w:r>
      <w:r>
        <w:rPr>
          <w:i w:val="0"/>
          <w:sz w:val="24"/>
          <w:szCs w:val="24"/>
        </w:rPr>
        <w:t xml:space="preserve">, </w:t>
      </w:r>
      <w:r>
        <w:rPr>
          <w:i/>
          <w:sz w:val="24"/>
          <w:szCs w:val="24"/>
        </w:rPr>
        <w:t>selamat deepavali</w:t>
      </w:r>
      <w:r>
        <w:rPr>
          <w:i w:val="0"/>
          <w:sz w:val="24"/>
          <w:szCs w:val="24"/>
        </w:rPr>
        <w:t xml:space="preserve"> and </w:t>
      </w:r>
      <w:r>
        <w:rPr>
          <w:i/>
          <w:sz w:val="24"/>
          <w:szCs w:val="24"/>
        </w:rPr>
        <w:t>raih gelar juara</w:t>
      </w:r>
      <w:r>
        <w:rPr>
          <w:i w:val="0"/>
          <w:sz w:val="24"/>
          <w:szCs w:val="24"/>
        </w:rPr>
        <w:t xml:space="preserve">. In the correctly classified negative example, the sentiment is carried by an English word, </w:t>
      </w:r>
      <w:r>
        <w:rPr>
          <w:i/>
          <w:sz w:val="24"/>
          <w:szCs w:val="24"/>
        </w:rPr>
        <w:t>worthless</w:t>
      </w:r>
      <w:r>
        <w:rPr>
          <w:i w:val="0"/>
          <w:sz w:val="24"/>
          <w:szCs w:val="24"/>
        </w:rPr>
        <w:t>. Six author-selected examples are illustrative rather than statistical, and no error rate can be computed from them. Their uniformity is nonetheless difficult to dismiss. Where the ensemble succeeded, the affect was in a language its tools covered. In every case where it failed, the affect was not.</w:t>
      </w:r>
    </w:p>
    <w:p w14:paraId="3095AA50" w14:textId="77777777" w:rsidR="00D714BA" w:rsidRPr="00D714BA" w:rsidRDefault="00D714BA" w:rsidP="00D714BA">
      <w:pPr>
        <w:spacing w:before="120"/>
        <w:ind w:firstLine="244"/>
        <w:jc w:val="both"/>
        <w:rPr>
          <w:sz w:val="24"/>
          <w:szCs w:val="24"/>
          <w:lang w:val="en-GB"/>
        </w:rPr>
      </w:pPr>
      <w:r>
        <w:rPr>
          <w:i w:val="0"/>
          <w:sz w:val="24"/>
          <w:szCs w:val="24"/>
          <w:lang w:val="en-GB"/>
        </w:rPr>
        <w:t>The second source has nothing to do with the tools. Some posts are difficult to judge, and the annotators of these resources say so. Kasmuri and Basiron (2019) note that low agreement in sentiment annotation arises because sentiment texts are subjective, so evaluations differ from one annotator to another and are shaped by each annotator's background. Kong et al. (2023) make the same point about their own task. They observe that tagging text with sentiment labels is highly subjective and influenced by personal beliefs, and that a clear guideline is needed for this reason. As Section 2.2 established, disagreement that arises from subjectivity is not removed by collecting more judgements (Pavlick and Kwiatkowski, 2019).</w:t>
      </w:r>
    </w:p>
    <w:p w14:paraId="78B38C63" w14:textId="77777777" w:rsidR="00D714BA" w:rsidRPr="00D714BA" w:rsidRDefault="00D714BA" w:rsidP="00D714BA">
      <w:pPr>
        <w:spacing w:before="120"/>
        <w:ind w:firstLine="244"/>
        <w:jc w:val="both"/>
        <w:rPr>
          <w:sz w:val="24"/>
          <w:szCs w:val="24"/>
          <w:lang w:val="en-GB"/>
        </w:rPr>
      </w:pPr>
      <w:r>
        <w:rPr>
          <w:i w:val="0"/>
          <w:sz w:val="24"/>
          <w:szCs w:val="24"/>
          <w:lang w:val="en-GB"/>
        </w:rPr>
        <w:t>Separating the two sources matters because the labels they produce are indistinguishable and the responses they require are opposite. A genuinely neutral post is correctly labelled and belongs in the corpus. A falsely neutral post is an error that a better-resourced annotator would not have made. A single-model pipeline is structurally unable to tell them apart. The evidence that would distinguish them is the affect the annotator could not read, and that is the evidence the annotator lacks.</w:t>
      </w:r>
    </w:p>
    <w:p w14:paraId="1B1D9D31" w14:textId="77777777" w:rsidR="00D714BA" w:rsidRPr="00D714BA" w:rsidRDefault="00D714BA" w:rsidP="00D714BA">
      <w:pPr>
        <w:spacing w:before="120"/>
        <w:ind w:firstLine="244"/>
        <w:jc w:val="both"/>
        <w:rPr>
          <w:sz w:val="24"/>
          <w:szCs w:val="24"/>
          <w:lang w:val="en-GB"/>
        </w:rPr>
      </w:pPr>
      <w:r>
        <w:rPr>
          <w:i w:val="0"/>
          <w:sz w:val="24"/>
          <w:szCs w:val="24"/>
          <w:lang w:val="en-GB"/>
        </w:rPr>
        <w:t>A false neutral does not only inflate one class. It also depletes another. Every strongly polarised post assigned to the neutral class is a training example removed from a minority class, which is where a classifier trained on the corpus has the fewest examples to learn from. At a 5.44% negative share, the smallest class in the corpus is also the class that this depletion reduces further.</w:t>
      </w:r>
    </w:p>
    <w:p w14:paraId="5A241194" w14:textId="77777777" w:rsidR="00D714BA" w:rsidRPr="007F0036" w:rsidRDefault="00C127AD" w:rsidP="00D714BA">
      <w:pPr>
        <w:keepNext/>
        <w:spacing w:before="120"/>
        <w:jc w:val="both"/>
        <w:rPr>
          <w:b/>
          <w:bCs/>
          <w:sz w:val="24"/>
          <w:szCs w:val="24"/>
          <w:lang w:val="en-GB"/>
        </w:rPr>
      </w:pPr>
      <w:r>
        <w:rPr>
          <w:b/>
          <w:bCs/>
          <w:sz w:val="24"/>
          <w:szCs w:val="24"/>
          <w:lang w:val="en-GB"/>
        </w:rPr>
        <w:t xml:space="preserve">3.3 </w:t>
      </w:r>
      <w:r>
        <w:rPr>
          <w:b/>
          <w:bCs/>
          <w:sz w:val="24"/>
          <w:szCs w:val="24"/>
        </w:rPr>
        <w:t>What consensus does with disagreement</w:t>
      </w:r>
    </w:p>
    <w:p w14:paraId="34C33E1F" w14:textId="77777777" w:rsidR="00D714BA" w:rsidRPr="00D714BA" w:rsidRDefault="009F7D9C" w:rsidP="00D714BA">
      <w:pPr>
        <w:spacing w:before="120"/>
        <w:ind w:firstLine="244"/>
        <w:jc w:val="both"/>
        <w:rPr>
          <w:sz w:val="24"/>
          <w:szCs w:val="24"/>
          <w:lang w:val="en-GB"/>
        </w:rPr>
      </w:pPr>
      <w:r>
        <w:rPr>
          <w:i w:val="0"/>
          <w:sz w:val="24"/>
          <w:szCs w:val="24"/>
        </w:rPr>
        <w:t>Pooling several annotators is a commonly proposed response when a single annotator is unreliable (Artstein and Poesio, 2008; Uma et al., 2021). MESocSentiment is evidence against that response, because it was already built as a consensus pipeline. Three sentiment analysers labelled every post and the majority label was assigned. The corpus skewed towards the neutral label anyway.</w:t>
      </w:r>
    </w:p>
    <w:p w14:paraId="4132FF8E" w14:textId="77777777" w:rsidR="00D714BA" w:rsidRPr="00D714BA" w:rsidRDefault="00D714BA" w:rsidP="00D714BA">
      <w:pPr>
        <w:spacing w:before="120"/>
        <w:ind w:firstLine="244"/>
        <w:jc w:val="both"/>
        <w:rPr>
          <w:sz w:val="24"/>
          <w:szCs w:val="24"/>
          <w:lang w:val="en-GB"/>
        </w:rPr>
      </w:pPr>
      <w:r>
        <w:rPr>
          <w:i w:val="0"/>
          <w:sz w:val="24"/>
          <w:szCs w:val="24"/>
          <w:lang w:val="en-GB"/>
        </w:rPr>
        <w:t>The reason is visible in the corpus authors' own reporting, and it is not the reason that might be expected. Voting cancels error only to the extent that the voters fail independently. Independence would be expected where the voters differ in architecture, meaning that they are built in different ways. Table 2 shows that architectural difference was present and did not help.</w:t>
      </w:r>
    </w:p>
    <w:p w14:paraId="5C82D1B0" w14:textId="77777777" w:rsidR="00D714BA" w:rsidRPr="00D714BA" w:rsidRDefault="00D714BA" w:rsidP="00D714BA">
      <w:pPr>
        <w:keepNext/>
        <w:spacing w:before="120"/>
        <w:ind w:firstLine="244"/>
        <w:jc w:val="center"/>
        <w:rPr>
          <w:b/>
          <w:bCs/>
          <w:sz w:val="24"/>
          <w:szCs w:val="24"/>
          <w:lang w:val="en-GB"/>
        </w:rPr>
      </w:pPr>
      <w:r>
        <w:rPr>
          <w:b/>
          <w:bCs/>
          <w:sz w:val="24"/>
          <w:szCs w:val="24"/>
          <w:lang w:val="en-GB"/>
        </w:rPr>
        <w:t xml:space="preserve">Table 2. </w:t>
      </w:r>
      <w:r>
        <w:rPr>
          <w:b/>
          <w:bCs/>
          <w:sz w:val="24"/>
          <w:szCs w:val="24"/>
        </w:rPr>
        <w:t xml:space="preserve">The Three Annotators Used to Build </w:t>
      </w:r>
      <w:proofErr w:type="spellStart"/>
      <w:r>
        <w:rPr>
          <w:b/>
          <w:bCs/>
          <w:sz w:val="24"/>
          <w:szCs w:val="24"/>
        </w:rPr>
        <w:t>MESocSentiment</w:t>
      </w:r>
      <w:proofErr w:type="spellEnd"/>
      <w:r>
        <w:rPr>
          <w:b/>
          <w:bCs/>
          <w:sz w:val="24"/>
          <w:szCs w:val="24"/>
        </w:rPr>
        <w:t>, and the Labels Each Assigned</w:t>
      </w:r>
      <w:r>
        <w:rPr>
          <w:b/>
          <w:bCs/>
          <w:sz w:val="24"/>
          <w:szCs w:val="24"/>
          <w:lang w:val="en-GB"/>
        </w:rPr>
        <w:t xml:space="preserve"> (Mohd Shamsuddin et al., 2024)</w:t>
      </w:r>
    </w:p>
    <w:tbl>
      <w:tblPr>
        <w:tblW w:w="55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7"/>
        <w:gridCol w:w="2468"/>
        <w:gridCol w:w="1904"/>
        <w:gridCol w:w="2835"/>
      </w:tblGrid>
      <w:tr w:rsidR="00D714BA" w14:paraId="4878FC3A" w14:textId="77777777" w:rsidTr="008C0BA5">
        <w:trPr>
          <w:jc w:val="center"/>
          <w:cantSplit/>
          <w:tblHeader/>
        </w:trPr>
        <w:tc>
          <w:tcPr>
            <w:tcW w:w="897" w:type="pct"/>
            <w:shd w:val="clear" w:color="auto" w:fill="4BACC6"/>
            <w:vAlign w:val="center"/>
          </w:tcPr>
          <w:p w14:paraId="21B32462" w14:textId="77777777" w:rsidR="00D714BA" w:rsidRDefault="00D714BA" w:rsidP="00D714BA">
            <w:pPr>
              <w:keepNext/>
              <w:tabs>
                <w:tab w:val="left" w:pos="24"/>
              </w:tabs>
              <w:jc w:val="left"/>
              <w:rPr>
                <w:b/>
                <w:color w:val="FFFFFF"/>
                <w:sz w:val="24"/>
                <w:szCs w:val="24"/>
              </w:rPr>
            </w:pPr>
            <w:r>
              <w:rPr>
                <w:b/>
                <w:bCs/>
                <w:sz w:val="20"/>
                <w:szCs w:val="24"/>
                <w:lang w:val="en-GB"/>
              </w:rPr>
              <w:t>Analyser</w:t>
            </w:r>
          </w:p>
        </w:tc>
        <w:tc>
          <w:tcPr>
            <w:tcW w:w="1405" w:type="pct"/>
            <w:shd w:val="clear" w:color="auto" w:fill="4BACC6"/>
            <w:vAlign w:val="center"/>
          </w:tcPr>
          <w:p w14:paraId="7087761A" w14:textId="77777777" w:rsidR="00D714BA" w:rsidRDefault="00D714BA" w:rsidP="00D714BA">
            <w:pPr>
              <w:keepNext/>
              <w:tabs>
                <w:tab w:val="left" w:pos="24"/>
              </w:tabs>
              <w:jc w:val="left"/>
              <w:rPr>
                <w:b/>
                <w:color w:val="FFFFFF"/>
                <w:sz w:val="24"/>
                <w:szCs w:val="24"/>
              </w:rPr>
            </w:pPr>
            <w:r>
              <w:rPr>
                <w:b/>
                <w:bCs/>
                <w:sz w:val="20"/>
                <w:szCs w:val="24"/>
                <w:lang w:val="en-GB"/>
              </w:rPr>
              <w:t>How the corpus authors describe it</w:t>
            </w:r>
          </w:p>
        </w:tc>
        <w:tc>
          <w:tcPr>
            <w:tcW w:w="1084" w:type="pct"/>
            <w:shd w:val="clear" w:color="auto" w:fill="4BACC6"/>
            <w:vAlign w:val="center"/>
          </w:tcPr>
          <w:p w14:paraId="17CAAD9F" w14:textId="77777777" w:rsidR="00D714BA" w:rsidRDefault="00D714BA" w:rsidP="00D714BA">
            <w:pPr>
              <w:keepNext/>
              <w:tabs>
                <w:tab w:val="left" w:pos="24"/>
              </w:tabs>
              <w:jc w:val="left"/>
              <w:rPr>
                <w:b/>
                <w:color w:val="FFFFFF"/>
                <w:sz w:val="24"/>
                <w:szCs w:val="24"/>
              </w:rPr>
            </w:pPr>
            <w:r>
              <w:rPr>
                <w:b/>
                <w:bCs/>
                <w:sz w:val="20"/>
                <w:szCs w:val="24"/>
                <w:lang w:val="en-GB"/>
              </w:rPr>
              <w:t>Languages it is described as covering</w:t>
            </w:r>
          </w:p>
        </w:tc>
        <w:tc>
          <w:tcPr>
            <w:tcW w:w="1614" w:type="pct"/>
            <w:shd w:val="clear" w:color="auto" w:fill="4BACC6"/>
            <w:vAlign w:val="center"/>
          </w:tcPr>
          <w:p w14:paraId="55736F13" w14:textId="77777777" w:rsidR="00D714BA" w:rsidRDefault="00D714BA" w:rsidP="00D714BA">
            <w:pPr>
              <w:keepNext/>
              <w:tabs>
                <w:tab w:val="left" w:pos="24"/>
              </w:tabs>
              <w:jc w:val="left"/>
              <w:rPr>
                <w:b/>
                <w:color w:val="FFFFFF"/>
                <w:sz w:val="24"/>
                <w:szCs w:val="24"/>
              </w:rPr>
            </w:pPr>
            <w:r>
              <w:rPr>
                <w:b/>
                <w:bCs/>
                <w:sz w:val="20"/>
                <w:szCs w:val="24"/>
                <w:lang w:val="en-GB"/>
              </w:rPr>
              <w:t>Neutral labels assigned, of 19,714</w:t>
            </w:r>
          </w:p>
        </w:tc>
      </w:tr>
      <w:tr w:rsidR="00D714BA" w14:paraId="10069CCA" w14:textId="77777777" w:rsidTr="008C0BA5">
        <w:trPr>
          <w:jc w:val="center"/>
          <w:cantSplit/>
        </w:trPr>
        <w:tc>
          <w:tcPr>
            <w:tcW w:w="897" w:type="pct"/>
            <w:shd w:val="clear" w:color="auto" w:fill="4BACC6"/>
            <w:vAlign w:val="center"/>
          </w:tcPr>
          <w:p w14:paraId="64710C1E" w14:textId="77777777" w:rsidR="00D714BA" w:rsidRDefault="00D714BA" w:rsidP="00D714BA">
            <w:pPr>
              <w:tabs>
                <w:tab w:val="left" w:pos="24"/>
              </w:tabs>
              <w:jc w:val="left"/>
              <w:rPr>
                <w:b/>
                <w:color w:val="FFFFFF"/>
                <w:sz w:val="24"/>
                <w:szCs w:val="24"/>
              </w:rPr>
            </w:pPr>
            <w:proofErr w:type="spellStart"/>
            <w:r>
              <w:rPr>
                <w:sz w:val="20"/>
                <w:szCs w:val="24"/>
                <w:lang w:val="en-GB"/>
              </w:rPr>
              <w:t>TextBlob</w:t>
            </w:r>
            <w:proofErr w:type="spellEnd"/>
          </w:p>
        </w:tc>
        <w:tc>
          <w:tcPr>
            <w:tcW w:w="1405" w:type="pct"/>
            <w:shd w:val="clear" w:color="auto" w:fill="D8D8D8"/>
            <w:vAlign w:val="center"/>
          </w:tcPr>
          <w:p w14:paraId="5FEACCF0" w14:textId="77777777" w:rsidR="00D714BA" w:rsidRDefault="00D714BA" w:rsidP="00D714BA">
            <w:pPr>
              <w:tabs>
                <w:tab w:val="left" w:pos="24"/>
              </w:tabs>
              <w:jc w:val="left"/>
              <w:rPr>
                <w:sz w:val="24"/>
                <w:szCs w:val="24"/>
              </w:rPr>
            </w:pPr>
            <w:r>
              <w:rPr>
                <w:sz w:val="20"/>
                <w:szCs w:val="24"/>
                <w:lang w:val="en-GB"/>
              </w:rPr>
              <w:t>"a Python library used to process textual data"</w:t>
            </w:r>
          </w:p>
        </w:tc>
        <w:tc>
          <w:tcPr>
            <w:tcW w:w="1084" w:type="pct"/>
            <w:shd w:val="clear" w:color="auto" w:fill="D8D8D8"/>
            <w:vAlign w:val="center"/>
          </w:tcPr>
          <w:p w14:paraId="4DC4FE8F" w14:textId="77777777" w:rsidR="00D714BA" w:rsidRDefault="00D714BA" w:rsidP="00D714BA">
            <w:pPr>
              <w:tabs>
                <w:tab w:val="left" w:pos="24"/>
              </w:tabs>
              <w:jc w:val="left"/>
              <w:rPr>
                <w:sz w:val="24"/>
                <w:szCs w:val="24"/>
              </w:rPr>
            </w:pPr>
            <w:r>
              <w:rPr>
                <w:sz w:val="20"/>
                <w:szCs w:val="24"/>
                <w:lang w:val="en-GB"/>
              </w:rPr>
              <w:t>Not stated</w:t>
            </w:r>
          </w:p>
        </w:tc>
        <w:tc>
          <w:tcPr>
            <w:tcW w:w="1614" w:type="pct"/>
            <w:shd w:val="clear" w:color="auto" w:fill="D8D8D8"/>
            <w:vAlign w:val="center"/>
          </w:tcPr>
          <w:p w14:paraId="196698F5" w14:textId="77777777" w:rsidR="00D714BA" w:rsidRDefault="00D714BA" w:rsidP="00D714BA">
            <w:pPr>
              <w:tabs>
                <w:tab w:val="left" w:pos="24"/>
              </w:tabs>
              <w:jc w:val="left"/>
              <w:rPr>
                <w:sz w:val="24"/>
                <w:szCs w:val="24"/>
              </w:rPr>
            </w:pPr>
            <w:r>
              <w:rPr>
                <w:sz w:val="20"/>
                <w:szCs w:val="24"/>
                <w:lang w:val="en-GB"/>
              </w:rPr>
              <w:t>14,305 (72.6%)</w:t>
            </w:r>
          </w:p>
        </w:tc>
      </w:tr>
      <w:tr w:rsidR="00D714BA" w14:paraId="3F10D7FD" w14:textId="77777777" w:rsidTr="008C0BA5">
        <w:trPr>
          <w:jc w:val="center"/>
          <w:cantSplit/>
        </w:trPr>
        <w:tc>
          <w:tcPr>
            <w:tcW w:w="897" w:type="pct"/>
            <w:shd w:val="clear" w:color="auto" w:fill="4BACC6"/>
            <w:vAlign w:val="center"/>
          </w:tcPr>
          <w:p w14:paraId="68B9A42F" w14:textId="77777777" w:rsidR="00D714BA" w:rsidRDefault="00D714BA" w:rsidP="00D714BA">
            <w:pPr>
              <w:tabs>
                <w:tab w:val="left" w:pos="24"/>
              </w:tabs>
              <w:jc w:val="left"/>
              <w:rPr>
                <w:b/>
                <w:color w:val="FFFFFF"/>
                <w:sz w:val="24"/>
                <w:szCs w:val="24"/>
              </w:rPr>
            </w:pPr>
            <w:r>
              <w:rPr>
                <w:sz w:val="20"/>
                <w:szCs w:val="24"/>
                <w:lang w:val="en-GB"/>
              </w:rPr>
              <w:t>VADER</w:t>
            </w:r>
          </w:p>
        </w:tc>
        <w:tc>
          <w:tcPr>
            <w:tcW w:w="1405" w:type="pct"/>
            <w:vAlign w:val="center"/>
          </w:tcPr>
          <w:p w14:paraId="34DC7EC2" w14:textId="77777777" w:rsidR="00D714BA" w:rsidRDefault="00D714BA" w:rsidP="00D714BA">
            <w:pPr>
              <w:tabs>
                <w:tab w:val="left" w:pos="24"/>
              </w:tabs>
              <w:jc w:val="left"/>
              <w:rPr>
                <w:sz w:val="24"/>
                <w:szCs w:val="24"/>
              </w:rPr>
            </w:pPr>
            <w:r>
              <w:rPr>
                <w:sz w:val="20"/>
                <w:szCs w:val="24"/>
                <w:lang w:val="en-GB"/>
              </w:rPr>
              <w:t>"a rule-based model … made to focus on social media texts"</w:t>
            </w:r>
          </w:p>
        </w:tc>
        <w:tc>
          <w:tcPr>
            <w:tcW w:w="1084" w:type="pct"/>
            <w:vAlign w:val="center"/>
          </w:tcPr>
          <w:p w14:paraId="09F7B099" w14:textId="77777777" w:rsidR="00D714BA" w:rsidRDefault="00D714BA" w:rsidP="00D714BA">
            <w:pPr>
              <w:tabs>
                <w:tab w:val="left" w:pos="24"/>
              </w:tabs>
              <w:jc w:val="left"/>
              <w:rPr>
                <w:sz w:val="24"/>
                <w:szCs w:val="24"/>
              </w:rPr>
            </w:pPr>
            <w:r>
              <w:rPr>
                <w:sz w:val="20"/>
                <w:szCs w:val="24"/>
                <w:lang w:val="en-GB"/>
              </w:rPr>
              <w:t>Not stated</w:t>
            </w:r>
          </w:p>
        </w:tc>
        <w:tc>
          <w:tcPr>
            <w:tcW w:w="1614" w:type="pct"/>
            <w:vAlign w:val="center"/>
          </w:tcPr>
          <w:p w14:paraId="7E3E8212" w14:textId="77777777" w:rsidR="00D714BA" w:rsidRDefault="00D714BA" w:rsidP="00D714BA">
            <w:pPr>
              <w:tabs>
                <w:tab w:val="left" w:pos="24"/>
              </w:tabs>
              <w:jc w:val="left"/>
              <w:rPr>
                <w:sz w:val="24"/>
                <w:szCs w:val="24"/>
              </w:rPr>
            </w:pPr>
            <w:r>
              <w:rPr>
                <w:sz w:val="20"/>
                <w:szCs w:val="24"/>
                <w:lang w:val="en-GB"/>
              </w:rPr>
              <w:t>13,115 (66.5%)</w:t>
            </w:r>
          </w:p>
        </w:tc>
      </w:tr>
      <w:tr w:rsidR="00D714BA" w14:paraId="0BA1F28F" w14:textId="77777777" w:rsidTr="008C0BA5">
        <w:trPr>
          <w:jc w:val="center"/>
          <w:cantSplit/>
        </w:trPr>
        <w:tc>
          <w:tcPr>
            <w:tcW w:w="897" w:type="pct"/>
            <w:shd w:val="clear" w:color="auto" w:fill="4BACC6"/>
            <w:vAlign w:val="center"/>
          </w:tcPr>
          <w:p w14:paraId="043ACAAC" w14:textId="77777777" w:rsidR="00D714BA" w:rsidRDefault="00D714BA" w:rsidP="00D714BA">
            <w:pPr>
              <w:tabs>
                <w:tab w:val="left" w:pos="24"/>
              </w:tabs>
              <w:jc w:val="left"/>
              <w:rPr>
                <w:b/>
                <w:color w:val="FFFFFF"/>
                <w:sz w:val="24"/>
                <w:szCs w:val="24"/>
              </w:rPr>
            </w:pPr>
            <w:proofErr w:type="spellStart"/>
            <w:r>
              <w:rPr>
                <w:sz w:val="20"/>
                <w:szCs w:val="24"/>
                <w:lang w:val="en-GB"/>
              </w:rPr>
              <w:t>pysentimiento</w:t>
            </w:r>
            <w:proofErr w:type="spellEnd"/>
          </w:p>
        </w:tc>
        <w:tc>
          <w:tcPr>
            <w:tcW w:w="1405" w:type="pct"/>
            <w:shd w:val="clear" w:color="auto" w:fill="D8D8D8"/>
            <w:vAlign w:val="center"/>
          </w:tcPr>
          <w:p w14:paraId="5E7DE014" w14:textId="77777777" w:rsidR="00D714BA" w:rsidRDefault="00D714BA" w:rsidP="00D714BA">
            <w:pPr>
              <w:tabs>
                <w:tab w:val="left" w:pos="24"/>
              </w:tabs>
              <w:jc w:val="left"/>
              <w:rPr>
                <w:sz w:val="24"/>
                <w:szCs w:val="24"/>
              </w:rPr>
            </w:pPr>
            <w:r>
              <w:rPr>
                <w:sz w:val="20"/>
                <w:szCs w:val="24"/>
                <w:lang w:val="en-GB"/>
              </w:rPr>
              <w:t xml:space="preserve">A toolkit "trained for sentiment analysis in English, Spanish, </w:t>
            </w:r>
            <w:proofErr w:type="spellStart"/>
            <w:r>
              <w:rPr>
                <w:sz w:val="20"/>
                <w:szCs w:val="24"/>
                <w:lang w:val="en-GB"/>
              </w:rPr>
              <w:t>Portugeuse</w:t>
            </w:r>
            <w:proofErr w:type="spellEnd"/>
            <w:r>
              <w:rPr>
                <w:sz w:val="20"/>
                <w:szCs w:val="24"/>
                <w:lang w:val="en-GB"/>
              </w:rPr>
              <w:t>, and Italian"</w:t>
            </w:r>
          </w:p>
        </w:tc>
        <w:tc>
          <w:tcPr>
            <w:tcW w:w="1084" w:type="pct"/>
            <w:shd w:val="clear" w:color="auto" w:fill="D8D8D8"/>
            <w:vAlign w:val="center"/>
          </w:tcPr>
          <w:p w14:paraId="1E0A56EE" w14:textId="77777777" w:rsidR="00D714BA" w:rsidRDefault="00D714BA" w:rsidP="00D714BA">
            <w:pPr>
              <w:tabs>
                <w:tab w:val="left" w:pos="24"/>
              </w:tabs>
              <w:jc w:val="left"/>
              <w:rPr>
                <w:sz w:val="24"/>
                <w:szCs w:val="24"/>
              </w:rPr>
            </w:pPr>
            <w:r>
              <w:rPr>
                <w:sz w:val="20"/>
                <w:szCs w:val="24"/>
                <w:lang w:val="en-GB"/>
              </w:rPr>
              <w:t>English, Spanish, Portuguese, Italian</w:t>
            </w:r>
          </w:p>
        </w:tc>
        <w:tc>
          <w:tcPr>
            <w:tcW w:w="1614" w:type="pct"/>
            <w:shd w:val="clear" w:color="auto" w:fill="D8D8D8"/>
            <w:vAlign w:val="center"/>
          </w:tcPr>
          <w:p w14:paraId="0DB59F03" w14:textId="77777777" w:rsidR="00D714BA" w:rsidRDefault="00D714BA" w:rsidP="00D714BA">
            <w:pPr>
              <w:tabs>
                <w:tab w:val="left" w:pos="24"/>
              </w:tabs>
              <w:jc w:val="left"/>
              <w:rPr>
                <w:sz w:val="24"/>
                <w:szCs w:val="24"/>
              </w:rPr>
            </w:pPr>
            <w:r>
              <w:rPr>
                <w:sz w:val="20"/>
                <w:szCs w:val="24"/>
                <w:lang w:val="en-GB"/>
              </w:rPr>
              <w:t>16,916 (85.8%)</w:t>
            </w:r>
          </w:p>
        </w:tc>
      </w:tr>
      <w:tr w:rsidR="00D714BA" w14:paraId="0B450905" w14:textId="77777777" w:rsidTr="008C0BA5">
        <w:trPr>
          <w:jc w:val="center"/>
          <w:cantSplit/>
        </w:trPr>
        <w:tc>
          <w:tcPr>
            <w:tcW w:w="897" w:type="pct"/>
            <w:shd w:val="clear" w:color="auto" w:fill="4BACC6"/>
            <w:vAlign w:val="center"/>
          </w:tcPr>
          <w:p w14:paraId="5EE321D4" w14:textId="77777777" w:rsidR="00D714BA" w:rsidRPr="00D714BA" w:rsidRDefault="00D714BA" w:rsidP="00D714BA">
            <w:pPr>
              <w:tabs>
                <w:tab w:val="left" w:pos="24"/>
              </w:tabs>
              <w:jc w:val="left"/>
              <w:rPr>
                <w:sz w:val="24"/>
                <w:szCs w:val="24"/>
                <w:lang w:val="en-GB"/>
              </w:rPr>
            </w:pPr>
            <w:r>
              <w:rPr>
                <w:sz w:val="20"/>
                <w:szCs w:val="24"/>
                <w:lang w:val="en-GB"/>
              </w:rPr>
              <w:t>Majority vote</w:t>
            </w:r>
          </w:p>
        </w:tc>
        <w:tc>
          <w:tcPr>
            <w:tcW w:w="1405" w:type="pct"/>
            <w:shd w:val="clear" w:color="auto" w:fill="D8D8D8"/>
            <w:vAlign w:val="center"/>
          </w:tcPr>
          <w:p w14:paraId="4A959F9A" w14:textId="77777777" w:rsidR="00D714BA" w:rsidRPr="00D714BA" w:rsidRDefault="00D714BA" w:rsidP="00D714BA">
            <w:pPr>
              <w:tabs>
                <w:tab w:val="left" w:pos="24"/>
              </w:tabs>
              <w:jc w:val="left"/>
              <w:rPr>
                <w:sz w:val="24"/>
                <w:szCs w:val="24"/>
                <w:lang w:val="en-GB"/>
              </w:rPr>
            </w:pPr>
            <w:r>
              <w:rPr>
                <w:sz w:val="20"/>
                <w:szCs w:val="24"/>
                <w:lang w:val="en-GB"/>
              </w:rPr>
              <w:t>—</w:t>
            </w:r>
          </w:p>
        </w:tc>
        <w:tc>
          <w:tcPr>
            <w:tcW w:w="1084" w:type="pct"/>
            <w:shd w:val="clear" w:color="auto" w:fill="D8D8D8"/>
            <w:vAlign w:val="center"/>
          </w:tcPr>
          <w:p w14:paraId="6918ABC3" w14:textId="77777777" w:rsidR="00D714BA" w:rsidRPr="00D714BA" w:rsidRDefault="00D714BA" w:rsidP="00D714BA">
            <w:pPr>
              <w:tabs>
                <w:tab w:val="left" w:pos="24"/>
              </w:tabs>
              <w:jc w:val="left"/>
              <w:rPr>
                <w:sz w:val="24"/>
                <w:szCs w:val="24"/>
                <w:lang w:val="en-GB"/>
              </w:rPr>
            </w:pPr>
            <w:r>
              <w:rPr>
                <w:sz w:val="20"/>
                <w:szCs w:val="24"/>
                <w:lang w:val="en-GB"/>
              </w:rPr>
              <w:t>—</w:t>
            </w:r>
          </w:p>
        </w:tc>
        <w:tc>
          <w:tcPr>
            <w:tcW w:w="1614" w:type="pct"/>
            <w:shd w:val="clear" w:color="auto" w:fill="D8D8D8"/>
            <w:vAlign w:val="center"/>
          </w:tcPr>
          <w:p w14:paraId="7282495A" w14:textId="77777777" w:rsidR="00D714BA" w:rsidRPr="00D714BA" w:rsidRDefault="00D714BA" w:rsidP="00D714BA">
            <w:pPr>
              <w:tabs>
                <w:tab w:val="left" w:pos="24"/>
              </w:tabs>
              <w:jc w:val="left"/>
              <w:rPr>
                <w:sz w:val="24"/>
                <w:szCs w:val="24"/>
                <w:lang w:val="en-GB"/>
              </w:rPr>
            </w:pPr>
            <w:r>
              <w:rPr>
                <w:sz w:val="20"/>
                <w:szCs w:val="24"/>
                <w:lang w:val="en-GB"/>
              </w:rPr>
              <w:t>15,422 (78.2%)</w:t>
            </w:r>
          </w:p>
        </w:tc>
      </w:tr>
    </w:tbl>
    <w:p w14:paraId="7277BA16" w14:textId="77777777" w:rsidR="00CE6FEC" w:rsidRPr="00CE6FEC" w:rsidRDefault="00CE6FEC" w:rsidP="00CE6FEC">
      <w:pPr>
        <w:spacing w:before="120"/>
        <w:ind w:firstLine="244"/>
        <w:jc w:val="both"/>
        <w:rPr>
          <w:sz w:val="24"/>
          <w:szCs w:val="24"/>
          <w:lang w:val="en-GB"/>
        </w:rPr>
      </w:pPr>
      <w:r>
        <w:rPr>
          <w:i w:val="0"/>
          <w:sz w:val="24"/>
          <w:szCs w:val="24"/>
          <w:lang w:val="en-GB"/>
        </w:rPr>
        <w:t>Two observations follow from Table 2. The first is that every analyser skewed neutral before any vote was taken, so the skew was not produced by the voting rule. The second concerns the analyser that skewed hardest, pysentimiento, at 85.8%. It is the transformer-based tool of the three, built on the transformer architecture that underlies BERT (Devlin et al., 2019). The shared weakness is therefore not a lack of model capacity, since the transformer-based model performed worst. None of the three analysers is described by the corpus authors as covering Malay, and one is explicitly described as trained on four other languages. The property the three voters share is the language they do not cover. A Malay affect-bearing word that one analyser does not recognise is therefore unlikely to be recognised by the others. The ensemble does not cancel that error. It confirms it, and unanimity produced this way is indistinguishable from confidence. This shared language gap is the first weakness of the consensus pipeline.</w:t>
      </w:r>
    </w:p>
    <w:p w14:paraId="762AE3D0" w14:textId="77777777" w:rsidR="00CE6FEC" w:rsidRPr="00CE6FEC" w:rsidRDefault="00CE6FEC" w:rsidP="00CE6FEC">
      <w:pPr>
        <w:spacing w:before="120"/>
        <w:ind w:firstLine="244"/>
        <w:jc w:val="both"/>
        <w:rPr>
          <w:sz w:val="24"/>
          <w:szCs w:val="24"/>
          <w:lang w:val="en-GB"/>
        </w:rPr>
      </w:pPr>
      <w:r>
        <w:rPr>
          <w:i w:val="0"/>
          <w:sz w:val="24"/>
          <w:szCs w:val="24"/>
          <w:lang w:val="en-GB"/>
        </w:rPr>
        <w:t>The second weakness concerns the posts on which the ensemble could not agree. Where all three analysers returned different labels there was no majority. The authors state their response directly: ambiguous cases "were removed to ensure the corpus only contains tweets from absolute categories". This affected 512 posts, or 2.53% of the 20,226 labelled. The difficulty is not the proportion but the composition. A post on which three analysers disagree is one where the sentiment signal is contested, or is carried by words that none of them recognises confidently. That description fits the heavily code-switched and particle-laden posts that Section 2 identified as the hardest to annotate. The rule therefore removes the examples that a robust classifier particularly needs, and it removes them systematically rather than at random.</w:t>
      </w:r>
    </w:p>
    <w:p w14:paraId="66728C49" w14:textId="77777777" w:rsidR="00CE6FEC" w:rsidRPr="00CE6FEC" w:rsidRDefault="00CE6FEC" w:rsidP="00CE6FEC">
      <w:pPr>
        <w:spacing w:before="120"/>
        <w:ind w:firstLine="244"/>
        <w:jc w:val="both"/>
        <w:rPr>
          <w:sz w:val="24"/>
          <w:szCs w:val="24"/>
          <w:lang w:val="en-GB"/>
        </w:rPr>
      </w:pPr>
      <w:r>
        <w:rPr>
          <w:i w:val="0"/>
          <w:sz w:val="24"/>
          <w:szCs w:val="24"/>
          <w:lang w:val="en-GB"/>
        </w:rPr>
        <w:t>The effect on the corpus can be computed from the paper's own tables, and it runs in the wrong direction. Removing the contested posts left the neutral count unchanged at 15,422 while reducing the total from 20,226 to 19,714. The neutral share therefore rose by roughly two percentage points. Taken with the first weakness, majority voting has a double effect. It keeps the labels it is confident about and wrong about, and it deletes the labels it is uncertain about and would have learned from.</w:t>
      </w:r>
    </w:p>
    <w:p w14:paraId="537CB1BF" w14:textId="77777777" w:rsidR="00E10A8D" w:rsidRPr="00E10A8D" w:rsidRDefault="00E10A8D" w:rsidP="00E10A8D">
      <w:pPr>
        <w:spacing w:before="120"/>
        <w:ind w:firstLine="244"/>
        <w:jc w:val="both"/>
        <w:rPr>
          <w:sz w:val="24"/>
          <w:szCs w:val="24"/>
          <w:lang w:val="en-GB"/>
        </w:rPr>
      </w:pPr>
      <w:r>
        <w:rPr>
          <w:i w:val="0"/>
          <w:sz w:val="24"/>
          <w:szCs w:val="24"/>
          <w:lang w:val="en-GB"/>
        </w:rPr>
        <w:t>The methodological literature on annotation supports treating that deletion as a loss rather than as a cleaning step, since Uma et al. (2021) question the assumption that a single correct interpretation exists for every item. Under this view, the 512 discarded posts were not noise removed from the corpus but signal removed from it.</w:t>
      </w:r>
    </w:p>
    <w:p w14:paraId="71BBD56F" w14:textId="77777777" w:rsidR="00CE6FEC" w:rsidRDefault="00CE6FEC" w:rsidP="00CE6FEC">
      <w:pPr>
        <w:spacing w:before="120"/>
        <w:ind w:firstLine="244"/>
        <w:jc w:val="both"/>
        <w:rPr>
          <w:sz w:val="24"/>
          <w:szCs w:val="24"/>
          <w:lang w:val="en-GB"/>
        </w:rPr>
      </w:pPr>
      <w:r>
        <w:rPr>
          <w:i w:val="0"/>
          <w:sz w:val="24"/>
          <w:szCs w:val="24"/>
          <w:lang w:val="en-GB"/>
        </w:rPr>
        <w:t>No study examined here adjudicates annotator disagreement on Malaysian code-mixed sentiment text, and none measures whether annotators of different types fail independently, which is the premise on which aggregation rests. The evidence above suggests that they do not fail independently when they share a language gap. That remains a suggestion rather than a measurement, and it is returned to in Section 5 as a direction for future research.</w:t>
      </w:r>
    </w:p>
    <w:p w:rsidR="00D714BA" w:rsidRPr="007F0036" w:rsidRDefault="00C127AD" w:rsidP="00D714BA">
      <w:pPr>
        <w:keepNext/>
        <w:spacing w:before="120"/>
        <w:jc w:val="both"/>
        <w:rPr>
          <w:b/>
          <w:bCs/>
          <w:sz w:val="24"/>
          <w:szCs w:val="24"/>
          <w:lang w:val="en-GB"/>
        </w:rPr>
      </w:pPr>
      <w:r>
        <w:rPr>
          <w:b/>
          <w:bCs/>
          <w:i w:val="0"/>
          <w:sz w:val="24"/>
          <w:szCs w:val="24"/>
          <w:lang w:val="en-GB"/>
        </w:rPr>
        <w:t>3.4 Where each family of model is limited as an annotator</w:t>
      </w:r>
    </w:p>
    <w:p w:rsidR="00CE6FEC" w:rsidRDefault="00CE6FEC" w:rsidP="00CE6FEC">
      <w:pPr>
        <w:spacing w:before="120"/>
        <w:ind w:firstLine="244"/>
        <w:jc w:val="both"/>
        <w:rPr>
          <w:sz w:val="24"/>
          <w:szCs w:val="24"/>
          <w:lang w:val="en-GB"/>
        </w:rPr>
      </w:pPr>
      <w:r>
        <w:rPr>
          <w:i w:val="0"/>
          <w:sz w:val="24"/>
          <w:szCs w:val="24"/>
          <w:lang w:val="en-GB"/>
        </w:rPr>
        <w:t>The two families of model used as annotators in the reviewed studies are limited in different ways. The first is the fine-tuned multilingual encoder. An encoder is a model that reads text and produces representations of it rather than generating new text (Devlin et al., 2019). Manukonda and Kodali (2025) fine-tuned one such model on original and transliterated versions of the same text, and report that it handled the variant spellings it had been shown in training. It follows from the method, rather than from any claim the authors make, that a fine-tuned annotator resolves only the variation present in its fine-tuning data. Extending that coverage requires more annotated Malay-English data, which is the resource whose scarcity motivated automated annotation in the first place. The second family is the generative model, which is not restricted to a fixed vocabulary. Its robustness on a given language pair does not, however, follow from how much of either language it has seen. Adilazuarda et al. (2022) found that their models handled English mixing, the embedded language best represented in pre-training, less robustly than Javanese or Malay mixing. Jadhav et al. (2025) found generative annotators scoring below a fine-tuned encoder on a low-resource language. Selecting an annotator is therefore not selecting a level of quality. It is selecting a failure mode, and the labels a corpus contains reflect whichever mode was selected.</w:t>
      </w:r>
    </w:p>
    <w:p w14:paraId="439E2280" w14:textId="77777777" w:rsidR="00FD39E7" w:rsidRDefault="00FD39E7" w:rsidP="00A76001">
      <w:pPr>
        <w:spacing w:before="120"/>
        <w:ind w:firstLine="244"/>
        <w:jc w:val="both"/>
        <w:rPr>
          <w:sz w:val="24"/>
          <w:szCs w:val="24"/>
          <w:lang w:val="en-GB"/>
        </w:rPr>
      </w:pPr>
    </w:p>
    <w:p w14:paraId="249E67F6" w14:textId="77777777" w:rsidR="00FD39E7" w:rsidRPr="006546A0" w:rsidRDefault="00C127AD" w:rsidP="00FD39E7">
      <w:pPr>
        <w:keepNext/>
        <w:tabs>
          <w:tab w:val="left" w:pos="24"/>
        </w:tabs>
        <w:jc w:val="both"/>
        <w:rPr>
          <w:b/>
          <w:sz w:val="26"/>
          <w:szCs w:val="26"/>
        </w:rPr>
      </w:pPr>
      <w:r>
        <w:rPr>
          <w:b/>
          <w:i w:val="0"/>
          <w:sz w:val="26"/>
          <w:szCs w:val="26"/>
        </w:rPr>
        <w:t>4. Evaluating Annotation Reliability</w:t>
      </w:r>
    </w:p>
    <w:p w14:paraId="6C070B93" w14:textId="77777777" w:rsidR="00FD39E7" w:rsidRPr="00FD39E7" w:rsidRDefault="00FD39E7" w:rsidP="00FD39E7">
      <w:pPr>
        <w:spacing w:before="120"/>
        <w:ind w:firstLine="244"/>
        <w:jc w:val="both"/>
        <w:rPr>
          <w:sz w:val="24"/>
          <w:szCs w:val="24"/>
          <w:lang w:val="en-GB"/>
        </w:rPr>
      </w:pPr>
      <w:r>
        <w:rPr>
          <w:i w:val="0"/>
          <w:sz w:val="24"/>
          <w:szCs w:val="24"/>
          <w:lang w:val="en-GB"/>
        </w:rPr>
        <w:t xml:space="preserve">Section 3 concerned how labels are produced. This section concerns how the reliability of the labels that result is evaluated. Reliability is normally assessed with a chance-corrected agreement coefficient, such as Cohen's </w:t>
      </w:r>
      <w:r>
        <w:rPr>
          <w:i/>
          <w:sz w:val="24"/>
          <w:szCs w:val="24"/>
          <w:lang w:val="en-GB"/>
        </w:rPr>
        <w:t>κ</w:t>
      </w:r>
      <w:r>
        <w:rPr>
          <w:i w:val="0"/>
          <w:sz w:val="24"/>
          <w:szCs w:val="24"/>
          <w:lang w:val="en-GB"/>
        </w:rPr>
        <w:t xml:space="preserve"> (Cohen, 1960; Artstein and Poesio, 2008). The coefficient measures how far the agreement two annotators reach exceeds the agreement expected by chance. The resulting values are then read against conventions. In computational linguistics, values above 0.8 are generally treated as good reliability, and values between 0.67 and 0.8 as allowing tentative conclusions (Artstein and Poesio, 2008).</w:t>
      </w:r>
    </w:p>
    <w:p w14:paraId="655403FB" w14:textId="77777777" w:rsidR="00FD39E7" w:rsidRPr="00FD39E7" w:rsidRDefault="00FD39E7" w:rsidP="00FD39E7">
      <w:pPr>
        <w:spacing w:before="120"/>
        <w:ind w:firstLine="244"/>
        <w:jc w:val="both"/>
        <w:rPr>
          <w:sz w:val="24"/>
          <w:szCs w:val="24"/>
          <w:lang w:val="en-GB"/>
        </w:rPr>
      </w:pPr>
      <w:r>
        <w:rPr>
          <w:i w:val="0"/>
          <w:sz w:val="24"/>
          <w:szCs w:val="24"/>
          <w:lang w:val="en-GB"/>
        </w:rPr>
        <w:t xml:space="preserve">Those conventions assume that expected chance agreement is stable across datasets, and it is not. Feinstein and Cicchetti (1990) show that an imbalance in the marginal totals of an agreement table can convert a high observed agreement into a low coefficient. The marginal totals are the counts of items that each annotator assigned to each category. Their worked example illustrates the effect. Holding observed agreement at 0.85, an expected chance agreement of 0.50 yields </w:t>
      </w:r>
      <w:r>
        <w:rPr>
          <w:i/>
          <w:sz w:val="24"/>
          <w:szCs w:val="24"/>
          <w:lang w:val="en-GB"/>
        </w:rPr>
        <w:t>κ</w:t>
      </w:r>
      <w:r>
        <w:rPr>
          <w:i w:val="0"/>
          <w:sz w:val="24"/>
          <w:szCs w:val="24"/>
          <w:lang w:val="en-GB"/>
        </w:rPr>
        <w:t xml:space="preserve"> = 0.70, while an expected chance agreement of 0.78 yields </w:t>
      </w:r>
      <w:r>
        <w:rPr>
          <w:i/>
          <w:sz w:val="24"/>
          <w:szCs w:val="24"/>
          <w:lang w:val="en-GB"/>
        </w:rPr>
        <w:t>κ</w:t>
      </w:r>
      <w:r>
        <w:rPr>
          <w:i w:val="0"/>
          <w:sz w:val="24"/>
          <w:szCs w:val="24"/>
          <w:lang w:val="en-GB"/>
        </w:rPr>
        <w:t xml:space="preserve"> = 0.32. The annotators agreed on the same 85% of items in both cases. Byrt et al. (1993) formalise the effect, showing that </w:t>
      </w:r>
      <w:r>
        <w:rPr>
          <w:i/>
          <w:sz w:val="24"/>
          <w:szCs w:val="24"/>
          <w:lang w:val="en-GB"/>
        </w:rPr>
        <w:t>κ</w:t>
      </w:r>
      <w:r>
        <w:rPr>
          <w:i w:val="0"/>
          <w:sz w:val="24"/>
          <w:szCs w:val="24"/>
          <w:lang w:val="en-GB"/>
        </w:rPr>
        <w:t xml:space="preserve"> reflects the distribution of data across categories as well as agreement, and propose a prevalence-adjusted coefficient in response. Di Eugenio and Glass (2004) name the effect the prevalence problem. They report a case in which two coders agreeing on 90 of 100 items yield </w:t>
      </w:r>
      <w:r>
        <w:rPr>
          <w:i/>
          <w:sz w:val="24"/>
          <w:szCs w:val="24"/>
          <w:lang w:val="en-GB"/>
        </w:rPr>
        <w:t>κ</w:t>
      </w:r>
      <w:r>
        <w:rPr>
          <w:i w:val="0"/>
          <w:sz w:val="24"/>
          <w:szCs w:val="24"/>
          <w:lang w:val="en-GB"/>
        </w:rPr>
        <w:t xml:space="preserve"> values ranging from −0.048 to 0.80, depending only on how the two categories are distributed. Artstein and Poesio (2008) state the consequence for annotation directly: when one category is very common, high agreement can result from indiscriminate coding rather than from an ability to distinguish between categories.</w:t>
      </w:r>
    </w:p>
    <w:p w14:paraId="63299E81" w14:textId="77777777" w:rsidR="00FD39E7" w:rsidRDefault="00FD39E7" w:rsidP="00FD39E7">
      <w:pPr>
        <w:spacing w:before="120"/>
        <w:ind w:firstLine="244"/>
        <w:jc w:val="both"/>
        <w:rPr>
          <w:sz w:val="24"/>
          <w:szCs w:val="24"/>
          <w:lang w:val="en-GB"/>
        </w:rPr>
      </w:pPr>
      <w:r>
        <w:rPr>
          <w:i w:val="0"/>
          <w:sz w:val="24"/>
          <w:szCs w:val="24"/>
          <w:lang w:val="en-GB"/>
        </w:rPr>
        <w:t>That is the condition Malaysian code-mixed sentiment data is in. Section 3 established that the labelling methods available for this text produce heavily skewed class distributions, with the largest corpus at 78.23% neutral. A skew of that size raises expected chance agreement, which is the quantity the chance correction depends on. The property that makes the labels unrepresentative is therefore the property that makes the statistic used to check them difficult to interpret. The difficulty runs in both directions. A low coefficient may indicate unreliable annotation, or it may indicate a dominant class. A high coefficient may indicate reliable annotation, or it may indicate indiscriminate coding. Neither interpretation can be ruled out from the coefficient alone.</w:t>
      </w:r>
    </w:p>
    <w:p w14:paraId="4EB2B166" w14:textId="77777777" w:rsidR="00867116" w:rsidRPr="00867116" w:rsidRDefault="00867116" w:rsidP="00867116">
      <w:pPr>
        <w:keepNext/>
        <w:spacing w:before="120"/>
        <w:ind w:firstLine="244"/>
        <w:jc w:val="both"/>
        <w:rPr>
          <w:sz w:val="24"/>
          <w:szCs w:val="24"/>
          <w:lang w:val="en-GB"/>
        </w:rPr>
      </w:pPr>
      <w:r>
        <w:rPr>
          <w:sz w:val="24"/>
          <w:szCs w:val="24"/>
          <w:lang w:val="en-GB"/>
        </w:rPr>
        <w:t>Table 3 sets out what the studies introducing the four Malay-English sentiment resources report about the reliability of their annotation.</w:t>
      </w:r>
    </w:p>
    <w:p w14:paraId="384C7D88" w14:textId="77777777" w:rsidR="00D714BA" w:rsidRPr="00867116" w:rsidRDefault="00867116" w:rsidP="00867116">
      <w:pPr>
        <w:keepNext/>
        <w:spacing w:before="120"/>
        <w:ind w:firstLine="244"/>
        <w:jc w:val="center"/>
        <w:rPr>
          <w:b/>
          <w:bCs/>
          <w:sz w:val="24"/>
          <w:szCs w:val="24"/>
          <w:lang w:val="en-GB"/>
        </w:rPr>
      </w:pPr>
      <w:r>
        <w:rPr>
          <w:b/>
          <w:bCs/>
          <w:sz w:val="24"/>
          <w:szCs w:val="24"/>
          <w:lang w:val="en-GB"/>
        </w:rPr>
        <w:t xml:space="preserve">Table 3. </w:t>
      </w:r>
      <w:r>
        <w:rPr>
          <w:b/>
          <w:bCs/>
          <w:sz w:val="24"/>
          <w:szCs w:val="24"/>
        </w:rPr>
        <w:t>Reliability Evidence Reported by the Four Malay-English Sentiment Corpora</w:t>
      </w:r>
    </w:p>
    <w:tbl>
      <w:tblPr>
        <w:tblW w:w="57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6"/>
        <w:gridCol w:w="1683"/>
        <w:gridCol w:w="1391"/>
        <w:gridCol w:w="1435"/>
        <w:gridCol w:w="2724"/>
      </w:tblGrid>
      <w:tr w:rsidR="00867116" w14:paraId="64F081AA" w14:textId="77777777" w:rsidTr="00725006">
        <w:trPr>
          <w:jc w:val="center"/>
          <w:cantSplit/>
          <w:tblHeader/>
        </w:trPr>
        <w:tc>
          <w:tcPr>
            <w:tcW w:w="1073" w:type="pct"/>
            <w:shd w:val="clear" w:color="auto" w:fill="4BACC6"/>
            <w:vAlign w:val="center"/>
          </w:tcPr>
          <w:p w14:paraId="69789E53" w14:textId="77777777" w:rsidR="00867116" w:rsidRDefault="00867116" w:rsidP="00867116">
            <w:pPr>
              <w:keepNext/>
              <w:tabs>
                <w:tab w:val="left" w:pos="24"/>
              </w:tabs>
              <w:jc w:val="left"/>
              <w:rPr>
                <w:b/>
                <w:color w:val="FFFFFF"/>
                <w:sz w:val="24"/>
                <w:szCs w:val="24"/>
              </w:rPr>
            </w:pPr>
            <w:r>
              <w:rPr>
                <w:b/>
                <w:bCs/>
                <w:sz w:val="20"/>
                <w:szCs w:val="24"/>
                <w:lang w:val="en-GB"/>
              </w:rPr>
              <w:t>Corpus</w:t>
            </w:r>
          </w:p>
        </w:tc>
        <w:tc>
          <w:tcPr>
            <w:tcW w:w="914" w:type="pct"/>
            <w:shd w:val="clear" w:color="auto" w:fill="4BACC6"/>
            <w:vAlign w:val="center"/>
          </w:tcPr>
          <w:p w14:paraId="535EC0C6" w14:textId="77777777" w:rsidR="00867116" w:rsidRDefault="00867116" w:rsidP="00867116">
            <w:pPr>
              <w:keepNext/>
              <w:tabs>
                <w:tab w:val="left" w:pos="24"/>
              </w:tabs>
              <w:jc w:val="left"/>
              <w:rPr>
                <w:b/>
                <w:color w:val="FFFFFF"/>
                <w:sz w:val="24"/>
                <w:szCs w:val="24"/>
              </w:rPr>
            </w:pPr>
            <w:r>
              <w:rPr>
                <w:b/>
                <w:bCs/>
                <w:sz w:val="20"/>
                <w:szCs w:val="24"/>
                <w:lang w:val="en-GB"/>
              </w:rPr>
              <w:t>Annotators</w:t>
            </w:r>
          </w:p>
        </w:tc>
        <w:tc>
          <w:tcPr>
            <w:tcW w:w="755" w:type="pct"/>
            <w:shd w:val="clear" w:color="auto" w:fill="4BACC6"/>
            <w:vAlign w:val="center"/>
          </w:tcPr>
          <w:p w14:paraId="751657F9" w14:textId="77777777" w:rsidR="00867116" w:rsidRDefault="00867116" w:rsidP="00867116">
            <w:pPr>
              <w:keepNext/>
              <w:tabs>
                <w:tab w:val="left" w:pos="24"/>
              </w:tabs>
              <w:jc w:val="left"/>
              <w:rPr>
                <w:b/>
                <w:color w:val="FFFFFF"/>
                <w:sz w:val="24"/>
                <w:szCs w:val="24"/>
              </w:rPr>
            </w:pPr>
            <w:r>
              <w:rPr>
                <w:b/>
                <w:bCs/>
                <w:sz w:val="20"/>
                <w:szCs w:val="24"/>
                <w:lang w:val="en-GB"/>
              </w:rPr>
              <w:t>Written guideline</w:t>
            </w:r>
          </w:p>
        </w:tc>
        <w:tc>
          <w:tcPr>
            <w:tcW w:w="779" w:type="pct"/>
            <w:shd w:val="clear" w:color="auto" w:fill="4BACC6"/>
            <w:vAlign w:val="center"/>
          </w:tcPr>
          <w:p w14:paraId="7539E8CF" w14:textId="77777777" w:rsidR="00867116" w:rsidRDefault="00867116" w:rsidP="00867116">
            <w:pPr>
              <w:keepNext/>
              <w:tabs>
                <w:tab w:val="left" w:pos="24"/>
              </w:tabs>
              <w:jc w:val="left"/>
              <w:rPr>
                <w:b/>
                <w:color w:val="FFFFFF"/>
                <w:sz w:val="24"/>
                <w:szCs w:val="24"/>
              </w:rPr>
            </w:pPr>
            <w:r>
              <w:rPr>
                <w:b/>
                <w:bCs/>
                <w:sz w:val="20"/>
                <w:szCs w:val="24"/>
                <w:lang w:val="en-GB"/>
              </w:rPr>
              <w:t>Coefficient reported</w:t>
            </w:r>
          </w:p>
        </w:tc>
        <w:tc>
          <w:tcPr>
            <w:tcW w:w="1480" w:type="pct"/>
            <w:shd w:val="clear" w:color="auto" w:fill="4BACC6"/>
          </w:tcPr>
          <w:p w14:paraId="49A5490E" w14:textId="77777777" w:rsidR="00867116" w:rsidRPr="00867116" w:rsidRDefault="00867116" w:rsidP="00867116">
            <w:pPr>
              <w:keepNext/>
              <w:tabs>
                <w:tab w:val="left" w:pos="24"/>
              </w:tabs>
              <w:jc w:val="left"/>
              <w:rPr>
                <w:b/>
                <w:bCs/>
                <w:sz w:val="24"/>
                <w:szCs w:val="24"/>
                <w:lang w:val="en-GB"/>
              </w:rPr>
            </w:pPr>
            <w:r>
              <w:rPr>
                <w:b/>
                <w:bCs/>
                <w:sz w:val="20"/>
                <w:szCs w:val="24"/>
                <w:lang w:val="en-GB"/>
              </w:rPr>
              <w:t>What the coefficient measured</w:t>
            </w:r>
          </w:p>
        </w:tc>
      </w:tr>
      <w:tr w:rsidR="00867116" w14:paraId="16B632AD" w14:textId="77777777" w:rsidTr="00725006">
        <w:trPr>
          <w:jc w:val="center"/>
          <w:cantSplit/>
        </w:trPr>
        <w:tc>
          <w:tcPr>
            <w:tcW w:w="1073" w:type="pct"/>
            <w:shd w:val="clear" w:color="auto" w:fill="4BACC6"/>
            <w:vAlign w:val="center"/>
          </w:tcPr>
          <w:p w14:paraId="79AB3FF4" w14:textId="77777777" w:rsidR="00867116" w:rsidRDefault="00867116" w:rsidP="00867116">
            <w:pPr>
              <w:tabs>
                <w:tab w:val="left" w:pos="24"/>
              </w:tabs>
              <w:jc w:val="left"/>
              <w:rPr>
                <w:b/>
                <w:color w:val="FFFFFF"/>
                <w:sz w:val="24"/>
                <w:szCs w:val="24"/>
              </w:rPr>
            </w:pPr>
            <w:proofErr w:type="spellStart"/>
            <w:r>
              <w:rPr>
                <w:sz w:val="20"/>
                <w:szCs w:val="24"/>
                <w:lang w:val="en-GB"/>
              </w:rPr>
              <w:t>MESocSentiment</w:t>
            </w:r>
            <w:proofErr w:type="spellEnd"/>
            <w:r>
              <w:rPr>
                <w:sz w:val="20"/>
                <w:szCs w:val="24"/>
                <w:lang w:val="en-GB"/>
              </w:rPr>
              <w:t xml:space="preserve"> (Mohd Shamsuddin et al., 2024)</w:t>
            </w:r>
          </w:p>
        </w:tc>
        <w:tc>
          <w:tcPr>
            <w:tcW w:w="914" w:type="pct"/>
            <w:shd w:val="clear" w:color="auto" w:fill="D8D8D8"/>
            <w:vAlign w:val="center"/>
          </w:tcPr>
          <w:p w14:paraId="39C174BE" w14:textId="77777777" w:rsidR="00867116" w:rsidRDefault="00867116" w:rsidP="00867116">
            <w:pPr>
              <w:tabs>
                <w:tab w:val="left" w:pos="24"/>
              </w:tabs>
              <w:jc w:val="left"/>
              <w:rPr>
                <w:sz w:val="24"/>
                <w:szCs w:val="24"/>
              </w:rPr>
            </w:pPr>
            <w:r>
              <w:rPr>
                <w:sz w:val="20"/>
                <w:szCs w:val="24"/>
                <w:lang w:val="en-GB"/>
              </w:rPr>
              <w:t>None; three automatic analysers</w:t>
            </w:r>
          </w:p>
        </w:tc>
        <w:tc>
          <w:tcPr>
            <w:tcW w:w="755" w:type="pct"/>
            <w:shd w:val="clear" w:color="auto" w:fill="D8D8D8"/>
            <w:vAlign w:val="center"/>
          </w:tcPr>
          <w:p w14:paraId="4DA875AA" w14:textId="77777777" w:rsidR="00867116" w:rsidRDefault="00867116" w:rsidP="00867116">
            <w:pPr>
              <w:tabs>
                <w:tab w:val="left" w:pos="24"/>
              </w:tabs>
              <w:jc w:val="left"/>
              <w:rPr>
                <w:sz w:val="24"/>
                <w:szCs w:val="24"/>
              </w:rPr>
            </w:pPr>
            <w:r>
              <w:rPr>
                <w:sz w:val="20"/>
                <w:szCs w:val="24"/>
                <w:lang w:val="en-GB"/>
              </w:rPr>
              <w:t>Not applicable</w:t>
            </w:r>
          </w:p>
        </w:tc>
        <w:tc>
          <w:tcPr>
            <w:tcW w:w="779" w:type="pct"/>
            <w:shd w:val="clear" w:color="auto" w:fill="D8D8D8"/>
            <w:vAlign w:val="center"/>
          </w:tcPr>
          <w:p w14:paraId="52B6D007" w14:textId="77777777" w:rsidR="00867116" w:rsidRDefault="00867116" w:rsidP="00867116">
            <w:pPr>
              <w:tabs>
                <w:tab w:val="left" w:pos="24"/>
              </w:tabs>
              <w:jc w:val="left"/>
              <w:rPr>
                <w:sz w:val="24"/>
                <w:szCs w:val="24"/>
              </w:rPr>
            </w:pPr>
            <w:r>
              <w:rPr>
                <w:sz w:val="20"/>
                <w:szCs w:val="24"/>
                <w:lang w:val="en-GB"/>
              </w:rPr>
              <w:t>None</w:t>
            </w:r>
          </w:p>
        </w:tc>
        <w:tc>
          <w:tcPr>
            <w:tcW w:w="1480" w:type="pct"/>
            <w:shd w:val="clear" w:color="auto" w:fill="D8D8D8"/>
            <w:vAlign w:val="center"/>
          </w:tcPr>
          <w:p w14:paraId="4A576B24" w14:textId="77777777" w:rsidR="00867116" w:rsidRPr="00D714BA" w:rsidRDefault="00867116" w:rsidP="00867116">
            <w:pPr>
              <w:tabs>
                <w:tab w:val="left" w:pos="24"/>
              </w:tabs>
              <w:jc w:val="left"/>
              <w:rPr>
                <w:sz w:val="24"/>
                <w:szCs w:val="24"/>
                <w:lang w:val="en-GB"/>
              </w:rPr>
            </w:pPr>
            <w:r>
              <w:rPr>
                <w:sz w:val="20"/>
                <w:szCs w:val="24"/>
                <w:lang w:val="en-GB"/>
              </w:rPr>
              <w:t>—</w:t>
            </w:r>
          </w:p>
        </w:tc>
      </w:tr>
      <w:tr w:rsidR="00867116" w14:paraId="5875CEFA" w14:textId="77777777" w:rsidTr="00725006">
        <w:trPr>
          <w:jc w:val="center"/>
          <w:cantSplit/>
        </w:trPr>
        <w:tc>
          <w:tcPr>
            <w:tcW w:w="1073" w:type="pct"/>
            <w:shd w:val="clear" w:color="auto" w:fill="4BACC6"/>
            <w:vAlign w:val="center"/>
          </w:tcPr>
          <w:p w14:paraId="66C2CE38" w14:textId="77777777" w:rsidR="00867116" w:rsidRDefault="00867116" w:rsidP="00867116">
            <w:pPr>
              <w:tabs>
                <w:tab w:val="left" w:pos="24"/>
              </w:tabs>
              <w:jc w:val="left"/>
              <w:rPr>
                <w:b/>
                <w:color w:val="FFFFFF"/>
                <w:sz w:val="24"/>
                <w:szCs w:val="24"/>
              </w:rPr>
            </w:pPr>
            <w:proofErr w:type="spellStart"/>
            <w:r>
              <w:rPr>
                <w:sz w:val="20"/>
                <w:szCs w:val="24"/>
                <w:lang w:val="en-GB"/>
              </w:rPr>
              <w:t>MyCovid</w:t>
            </w:r>
            <w:proofErr w:type="spellEnd"/>
            <w:r>
              <w:rPr>
                <w:sz w:val="20"/>
                <w:szCs w:val="24"/>
                <w:lang w:val="en-GB"/>
              </w:rPr>
              <w:t>-Senti (Kong et al., 2023)</w:t>
            </w:r>
          </w:p>
        </w:tc>
        <w:tc>
          <w:tcPr>
            <w:tcW w:w="914" w:type="pct"/>
            <w:vAlign w:val="center"/>
          </w:tcPr>
          <w:p w14:paraId="5A6E1D19" w14:textId="77777777" w:rsidR="00867116" w:rsidRDefault="00867116" w:rsidP="00867116">
            <w:pPr>
              <w:tabs>
                <w:tab w:val="left" w:pos="24"/>
              </w:tabs>
              <w:jc w:val="left"/>
              <w:rPr>
                <w:sz w:val="24"/>
                <w:szCs w:val="24"/>
              </w:rPr>
            </w:pPr>
            <w:r>
              <w:rPr>
                <w:sz w:val="20"/>
                <w:szCs w:val="24"/>
                <w:lang w:val="en-GB"/>
              </w:rPr>
              <w:t>Three, independent</w:t>
            </w:r>
          </w:p>
        </w:tc>
        <w:tc>
          <w:tcPr>
            <w:tcW w:w="755" w:type="pct"/>
            <w:vAlign w:val="center"/>
          </w:tcPr>
          <w:p w14:paraId="4D5F315B" w14:textId="77777777" w:rsidR="00867116" w:rsidRDefault="00867116" w:rsidP="00867116">
            <w:pPr>
              <w:tabs>
                <w:tab w:val="left" w:pos="24"/>
              </w:tabs>
              <w:jc w:val="left"/>
              <w:rPr>
                <w:sz w:val="24"/>
                <w:szCs w:val="24"/>
              </w:rPr>
            </w:pPr>
            <w:r>
              <w:rPr>
                <w:sz w:val="20"/>
                <w:szCs w:val="24"/>
                <w:lang w:val="en-GB"/>
              </w:rPr>
              <w:t>Yes</w:t>
            </w:r>
          </w:p>
        </w:tc>
        <w:tc>
          <w:tcPr>
            <w:tcW w:w="779" w:type="pct"/>
            <w:vAlign w:val="center"/>
          </w:tcPr>
          <w:p w14:paraId="57F551C4" w14:textId="77777777" w:rsidR="00867116" w:rsidRDefault="00867116" w:rsidP="00867116">
            <w:pPr>
              <w:tabs>
                <w:tab w:val="left" w:pos="24"/>
              </w:tabs>
              <w:jc w:val="left"/>
              <w:rPr>
                <w:sz w:val="24"/>
                <w:szCs w:val="24"/>
              </w:rPr>
            </w:pPr>
            <w:r>
              <w:rPr>
                <w:sz w:val="20"/>
                <w:szCs w:val="24"/>
                <w:lang w:val="en-GB"/>
              </w:rPr>
              <w:t>None</w:t>
            </w:r>
          </w:p>
        </w:tc>
        <w:tc>
          <w:tcPr>
            <w:tcW w:w="1480" w:type="pct"/>
            <w:vAlign w:val="center"/>
          </w:tcPr>
          <w:p w14:paraId="794EA0A5" w14:textId="77777777" w:rsidR="00867116" w:rsidRPr="00D714BA" w:rsidRDefault="00867116" w:rsidP="00867116">
            <w:pPr>
              <w:tabs>
                <w:tab w:val="left" w:pos="24"/>
              </w:tabs>
              <w:jc w:val="left"/>
              <w:rPr>
                <w:sz w:val="24"/>
                <w:szCs w:val="24"/>
                <w:lang w:val="en-GB"/>
              </w:rPr>
            </w:pPr>
            <w:r>
              <w:rPr>
                <w:sz w:val="20"/>
                <w:szCs w:val="24"/>
                <w:lang w:val="en-GB"/>
              </w:rPr>
              <w:t>—</w:t>
            </w:r>
          </w:p>
        </w:tc>
      </w:tr>
      <w:tr w:rsidR="00867116" w14:paraId="4F8514A8" w14:textId="77777777" w:rsidTr="00725006">
        <w:trPr>
          <w:jc w:val="center"/>
          <w:cantSplit/>
        </w:trPr>
        <w:tc>
          <w:tcPr>
            <w:tcW w:w="1073" w:type="pct"/>
            <w:shd w:val="clear" w:color="auto" w:fill="4BACC6"/>
            <w:vAlign w:val="center"/>
          </w:tcPr>
          <w:p w14:paraId="3A924289" w14:textId="77777777" w:rsidR="00867116" w:rsidRDefault="00867116" w:rsidP="00867116">
            <w:pPr>
              <w:tabs>
                <w:tab w:val="left" w:pos="24"/>
              </w:tabs>
              <w:jc w:val="left"/>
              <w:rPr>
                <w:b/>
                <w:color w:val="FFFFFF"/>
                <w:sz w:val="24"/>
                <w:szCs w:val="24"/>
              </w:rPr>
            </w:pPr>
            <w:r>
              <w:rPr>
                <w:sz w:val="20"/>
                <w:szCs w:val="24"/>
                <w:lang w:val="en-GB"/>
              </w:rPr>
              <w:t>MY-EN-CS (</w:t>
            </w:r>
            <w:proofErr w:type="spellStart"/>
            <w:r>
              <w:rPr>
                <w:sz w:val="20"/>
                <w:szCs w:val="24"/>
                <w:lang w:val="en-GB"/>
              </w:rPr>
              <w:t>Kasmuri</w:t>
            </w:r>
            <w:proofErr w:type="spellEnd"/>
            <w:r>
              <w:rPr>
                <w:sz w:val="20"/>
                <w:szCs w:val="24"/>
                <w:lang w:val="en-GB"/>
              </w:rPr>
              <w:t xml:space="preserve"> and </w:t>
            </w:r>
            <w:proofErr w:type="spellStart"/>
            <w:r>
              <w:rPr>
                <w:sz w:val="20"/>
                <w:szCs w:val="24"/>
                <w:lang w:val="en-GB"/>
              </w:rPr>
              <w:t>Basiron</w:t>
            </w:r>
            <w:proofErr w:type="spellEnd"/>
            <w:r>
              <w:rPr>
                <w:sz w:val="20"/>
                <w:szCs w:val="24"/>
                <w:lang w:val="en-GB"/>
              </w:rPr>
              <w:t>, 2019)</w:t>
            </w:r>
          </w:p>
        </w:tc>
        <w:tc>
          <w:tcPr>
            <w:tcW w:w="914" w:type="pct"/>
            <w:shd w:val="clear" w:color="auto" w:fill="D8D8D8"/>
            <w:vAlign w:val="center"/>
          </w:tcPr>
          <w:p w14:paraId="180F42F6" w14:textId="77777777" w:rsidR="00867116" w:rsidRDefault="00867116" w:rsidP="00867116">
            <w:pPr>
              <w:tabs>
                <w:tab w:val="left" w:pos="24"/>
              </w:tabs>
              <w:jc w:val="left"/>
              <w:rPr>
                <w:sz w:val="24"/>
                <w:szCs w:val="24"/>
              </w:rPr>
            </w:pPr>
            <w:r>
              <w:rPr>
                <w:sz w:val="20"/>
                <w:szCs w:val="24"/>
                <w:lang w:val="en-GB"/>
              </w:rPr>
              <w:t>Two undergraduates proficient in Malay and English</w:t>
            </w:r>
          </w:p>
        </w:tc>
        <w:tc>
          <w:tcPr>
            <w:tcW w:w="755" w:type="pct"/>
            <w:shd w:val="clear" w:color="auto" w:fill="D8D8D8"/>
            <w:vAlign w:val="center"/>
          </w:tcPr>
          <w:p w14:paraId="1C888BE5" w14:textId="77777777" w:rsidR="00867116" w:rsidRDefault="00867116" w:rsidP="00867116">
            <w:pPr>
              <w:tabs>
                <w:tab w:val="left" w:pos="24"/>
              </w:tabs>
              <w:jc w:val="left"/>
              <w:rPr>
                <w:sz w:val="24"/>
                <w:szCs w:val="24"/>
              </w:rPr>
            </w:pPr>
            <w:r>
              <w:rPr>
                <w:sz w:val="20"/>
                <w:szCs w:val="24"/>
                <w:lang w:val="en-GB"/>
              </w:rPr>
              <w:t>Yes; the guideline is the paper's contribution</w:t>
            </w:r>
          </w:p>
        </w:tc>
        <w:tc>
          <w:tcPr>
            <w:tcW w:w="779" w:type="pct"/>
            <w:shd w:val="clear" w:color="auto" w:fill="D8D8D8"/>
            <w:vAlign w:val="center"/>
          </w:tcPr>
          <w:p w14:paraId="3D6B9055" w14:textId="77777777" w:rsidR="00867116" w:rsidRDefault="00867116" w:rsidP="00867116">
            <w:pPr>
              <w:tabs>
                <w:tab w:val="left" w:pos="24"/>
              </w:tabs>
              <w:jc w:val="left"/>
              <w:rPr>
                <w:sz w:val="24"/>
                <w:szCs w:val="24"/>
              </w:rPr>
            </w:pPr>
            <w:r>
              <w:rPr>
                <w:sz w:val="20"/>
                <w:szCs w:val="24"/>
                <w:lang w:val="en-GB"/>
              </w:rPr>
              <w:t>κ = 0.83</w:t>
            </w:r>
          </w:p>
        </w:tc>
        <w:tc>
          <w:tcPr>
            <w:tcW w:w="1480" w:type="pct"/>
            <w:shd w:val="clear" w:color="auto" w:fill="D8D8D8"/>
            <w:vAlign w:val="center"/>
          </w:tcPr>
          <w:p w14:paraId="628CD2EF" w14:textId="77777777" w:rsidR="00867116" w:rsidRPr="00D714BA" w:rsidRDefault="00867116" w:rsidP="00867116">
            <w:pPr>
              <w:tabs>
                <w:tab w:val="left" w:pos="24"/>
              </w:tabs>
              <w:jc w:val="left"/>
              <w:rPr>
                <w:sz w:val="24"/>
                <w:szCs w:val="24"/>
                <w:lang w:val="en-GB"/>
              </w:rPr>
            </w:pPr>
            <w:r>
              <w:rPr>
                <w:sz w:val="20"/>
                <w:szCs w:val="24"/>
                <w:lang w:val="en-GB"/>
              </w:rPr>
              <w:t>Whether a sentence is opinionated or factual</w:t>
            </w:r>
          </w:p>
        </w:tc>
      </w:tr>
      <w:tr w:rsidR="00867116" w:rsidRPr="00D714BA" w14:paraId="29810363" w14:textId="77777777" w:rsidTr="00725006">
        <w:trPr>
          <w:jc w:val="center"/>
          <w:cantSplit/>
        </w:trPr>
        <w:tc>
          <w:tcPr>
            <w:tcW w:w="1073" w:type="pct"/>
            <w:shd w:val="clear" w:color="auto" w:fill="4BACC6"/>
            <w:vAlign w:val="center"/>
          </w:tcPr>
          <w:p w14:paraId="3F765835" w14:textId="77777777" w:rsidR="00867116" w:rsidRPr="00D714BA" w:rsidRDefault="00867116" w:rsidP="00867116">
            <w:pPr>
              <w:tabs>
                <w:tab w:val="left" w:pos="24"/>
              </w:tabs>
              <w:jc w:val="left"/>
              <w:rPr>
                <w:sz w:val="24"/>
                <w:szCs w:val="24"/>
                <w:lang w:val="en-GB"/>
              </w:rPr>
            </w:pPr>
            <w:proofErr w:type="spellStart"/>
            <w:r>
              <w:rPr>
                <w:sz w:val="20"/>
                <w:szCs w:val="24"/>
                <w:lang w:val="en-GB"/>
              </w:rPr>
              <w:lastRenderedPageBreak/>
              <w:t>SentiBahasaRojak</w:t>
            </w:r>
            <w:proofErr w:type="spellEnd"/>
            <w:r>
              <w:rPr>
                <w:sz w:val="20"/>
                <w:szCs w:val="24"/>
                <w:lang w:val="en-GB"/>
              </w:rPr>
              <w:t xml:space="preserve"> (</w:t>
            </w:r>
            <w:proofErr w:type="spellStart"/>
            <w:r>
              <w:rPr>
                <w:sz w:val="20"/>
                <w:szCs w:val="24"/>
                <w:lang w:val="en-GB"/>
              </w:rPr>
              <w:t>Romadhona</w:t>
            </w:r>
            <w:proofErr w:type="spellEnd"/>
            <w:r>
              <w:rPr>
                <w:sz w:val="20"/>
                <w:szCs w:val="24"/>
                <w:lang w:val="en-GB"/>
              </w:rPr>
              <w:t xml:space="preserve"> et al., 2022)</w:t>
            </w:r>
          </w:p>
        </w:tc>
        <w:tc>
          <w:tcPr>
            <w:tcW w:w="914" w:type="pct"/>
            <w:shd w:val="clear" w:color="auto" w:fill="D8D8D8"/>
            <w:vAlign w:val="center"/>
          </w:tcPr>
          <w:p w14:paraId="3A22C7AA" w14:textId="77777777" w:rsidR="00867116" w:rsidRPr="00D714BA" w:rsidRDefault="00867116" w:rsidP="00867116">
            <w:pPr>
              <w:tabs>
                <w:tab w:val="left" w:pos="24"/>
              </w:tabs>
              <w:jc w:val="left"/>
              <w:rPr>
                <w:sz w:val="24"/>
                <w:szCs w:val="24"/>
                <w:lang w:val="en-GB"/>
              </w:rPr>
            </w:pPr>
            <w:r>
              <w:rPr>
                <w:sz w:val="20"/>
                <w:szCs w:val="24"/>
                <w:lang w:val="en-GB"/>
              </w:rPr>
              <w:t>Five native Bahasa Rojak experts</w:t>
            </w:r>
          </w:p>
        </w:tc>
        <w:tc>
          <w:tcPr>
            <w:tcW w:w="755" w:type="pct"/>
            <w:shd w:val="clear" w:color="auto" w:fill="D8D8D8"/>
            <w:vAlign w:val="center"/>
          </w:tcPr>
          <w:p w14:paraId="63529980" w14:textId="77777777" w:rsidR="00867116" w:rsidRPr="00D714BA" w:rsidRDefault="00867116" w:rsidP="00867116">
            <w:pPr>
              <w:tabs>
                <w:tab w:val="left" w:pos="24"/>
              </w:tabs>
              <w:jc w:val="left"/>
              <w:rPr>
                <w:sz w:val="24"/>
                <w:szCs w:val="24"/>
                <w:lang w:val="en-GB"/>
              </w:rPr>
            </w:pPr>
            <w:r>
              <w:rPr>
                <w:sz w:val="20"/>
                <w:szCs w:val="24"/>
                <w:lang w:val="en-GB"/>
              </w:rPr>
              <w:t>Not stated</w:t>
            </w:r>
          </w:p>
        </w:tc>
        <w:tc>
          <w:tcPr>
            <w:tcW w:w="779" w:type="pct"/>
            <w:shd w:val="clear" w:color="auto" w:fill="D8D8D8"/>
            <w:vAlign w:val="center"/>
          </w:tcPr>
          <w:p w14:paraId="72D7AE0C" w14:textId="77777777" w:rsidR="00867116" w:rsidRPr="00D714BA" w:rsidRDefault="00867116" w:rsidP="00867116">
            <w:pPr>
              <w:tabs>
                <w:tab w:val="left" w:pos="24"/>
              </w:tabs>
              <w:jc w:val="left"/>
              <w:rPr>
                <w:sz w:val="24"/>
                <w:szCs w:val="24"/>
                <w:lang w:val="en-GB"/>
              </w:rPr>
            </w:pPr>
            <w:r>
              <w:rPr>
                <w:sz w:val="20"/>
                <w:szCs w:val="24"/>
                <w:lang w:val="en-GB"/>
              </w:rPr>
              <w:t>"Kappa" = 0.77; the variant is not specified</w:t>
            </w:r>
          </w:p>
        </w:tc>
        <w:tc>
          <w:tcPr>
            <w:tcW w:w="1480" w:type="pct"/>
            <w:shd w:val="clear" w:color="auto" w:fill="D8D8D8"/>
            <w:vAlign w:val="center"/>
          </w:tcPr>
          <w:p w14:paraId="573CE770" w14:textId="77777777" w:rsidR="00ED635A" w:rsidRPr="00ED635A" w:rsidRDefault="00ED635A" w:rsidP="00ED635A">
            <w:pPr>
              <w:tabs>
                <w:tab w:val="left" w:pos="24"/>
              </w:tabs>
              <w:jc w:val="left"/>
              <w:rPr>
                <w:sz w:val="24"/>
                <w:szCs w:val="24"/>
                <w:lang w:val="en-GB"/>
              </w:rPr>
            </w:pPr>
            <w:r>
              <w:rPr>
                <w:sz w:val="20"/>
                <w:szCs w:val="24"/>
                <w:lang w:val="en-GB"/>
              </w:rPr>
              <w:t>Whether a stock-market post is positive or negative; reported for the stock review subset only</w:t>
            </w:r>
          </w:p>
          <w:p w14:paraId="56878EE0" w14:textId="77777777" w:rsidR="00867116" w:rsidRPr="00D714BA" w:rsidRDefault="00867116" w:rsidP="00867116">
            <w:pPr>
              <w:tabs>
                <w:tab w:val="left" w:pos="24"/>
              </w:tabs>
              <w:jc w:val="left"/>
              <w:rPr>
                <w:sz w:val="24"/>
                <w:szCs w:val="24"/>
                <w:lang w:val="en-GB"/>
              </w:rPr>
            </w:pPr>
          </w:p>
        </w:tc>
      </w:tr>
    </w:tbl>
    <w:p w14:paraId="556BC8E7" w14:textId="77777777" w:rsidR="00867116" w:rsidRPr="00867116" w:rsidRDefault="00867116" w:rsidP="00867116">
      <w:pPr>
        <w:spacing w:before="120"/>
        <w:ind w:firstLine="244"/>
        <w:jc w:val="both"/>
        <w:rPr>
          <w:sz w:val="24"/>
          <w:szCs w:val="24"/>
          <w:lang w:val="en-GB"/>
        </w:rPr>
      </w:pPr>
      <w:r>
        <w:rPr>
          <w:i w:val="0"/>
          <w:sz w:val="24"/>
          <w:szCs w:val="24"/>
          <w:lang w:val="en-GB"/>
        </w:rPr>
        <w:t xml:space="preserve">Three observations follow. First, the studies introducing two of the four resources report no agreement coefficient at all, including one whose corpus was annotated by three people working from a written guideline. Second, the two coefficients that are reported were obtained for binary judgements, and neither concerns the three-class polarity task for which the resources are used. Third, Romadhona et al. (2022) report a kappa value without stating which coefficient it is. Their annotation used five experts with the final label set by majority vote, whereas Cohen's </w:t>
      </w:r>
      <w:r>
        <w:rPr>
          <w:i/>
          <w:sz w:val="24"/>
          <w:szCs w:val="24"/>
          <w:lang w:val="en-GB"/>
        </w:rPr>
        <w:t>κ</w:t>
      </w:r>
      <w:r>
        <w:rPr>
          <w:i w:val="0"/>
          <w:sz w:val="24"/>
          <w:szCs w:val="24"/>
          <w:lang w:val="en-GB"/>
        </w:rPr>
        <w:t xml:space="preserve"> is defined for two annotators.</w:t>
      </w:r>
    </w:p>
    <w:p w14:paraId="23071AE4" w14:textId="77777777" w:rsidR="00867116" w:rsidRDefault="00455F1A" w:rsidP="00867116">
      <w:pPr>
        <w:spacing w:before="120"/>
        <w:ind w:firstLine="244"/>
        <w:jc w:val="both"/>
        <w:rPr>
          <w:sz w:val="24"/>
          <w:szCs w:val="24"/>
          <w:lang w:val="en-GB"/>
        </w:rPr>
      </w:pPr>
      <w:r>
        <w:rPr>
          <w:i w:val="0"/>
          <w:sz w:val="24"/>
          <w:szCs w:val="24"/>
        </w:rPr>
        <w:t>None of the studies introducing the four corpora therefore supplies what a reliability claim requires. That requirement is a coefficient of a stated type, computed for the task the labels are used for, over annotators whose number and qualification are recorded. A corpus that did supply them would still face the interpretation problem described above, because the class distributions these labelling methods produce are the distributions under which the coefficient becomes difficult to interpret. Establishing reliability for this data is therefore not only unreported. With the instruments currently in use, it is not clearly achievable.</w:t>
      </w:r>
    </w:p>
    <w:p w14:paraId="629F4F8E" w14:textId="77777777" w:rsidR="003E79DB" w:rsidRDefault="003E79DB" w:rsidP="003E79DB">
      <w:pPr>
        <w:tabs>
          <w:tab w:val="left" w:pos="24"/>
        </w:tabs>
        <w:jc w:val="both"/>
        <w:rPr>
          <w:b/>
          <w:sz w:val="26"/>
          <w:szCs w:val="26"/>
        </w:rPr>
      </w:pPr>
    </w:p>
    <w:p w14:paraId="14BBD34E" w14:textId="77777777" w:rsidR="003E79DB" w:rsidRPr="006546A0" w:rsidRDefault="00C127AD" w:rsidP="003E79DB">
      <w:pPr>
        <w:keepNext/>
        <w:tabs>
          <w:tab w:val="left" w:pos="24"/>
        </w:tabs>
        <w:jc w:val="both"/>
        <w:rPr>
          <w:b/>
          <w:sz w:val="26"/>
          <w:szCs w:val="26"/>
        </w:rPr>
      </w:pPr>
      <w:r>
        <w:rPr>
          <w:b/>
          <w:i w:val="0"/>
          <w:sz w:val="26"/>
          <w:szCs w:val="26"/>
        </w:rPr>
        <w:t>5. Synthesis: How the Challenges Compound</w:t>
      </w:r>
    </w:p>
    <w:p w14:paraId="04A60D37" w14:textId="77777777" w:rsidR="003E79DB" w:rsidRPr="003E79DB" w:rsidRDefault="003E79DB" w:rsidP="003E79DB">
      <w:pPr>
        <w:spacing w:before="120"/>
        <w:ind w:firstLine="244"/>
        <w:jc w:val="both"/>
        <w:rPr>
          <w:sz w:val="24"/>
          <w:szCs w:val="24"/>
          <w:lang w:val="en-GB"/>
        </w:rPr>
      </w:pPr>
      <w:r>
        <w:rPr>
          <w:i w:val="0"/>
          <w:sz w:val="24"/>
          <w:szCs w:val="24"/>
          <w:lang w:val="en-GB"/>
        </w:rPr>
        <w:t>Sections 2 to 4 examined linguistic structure, annotation practice, the models used as annotators and reliability evaluation. Read separately, they describe four difficulties. Read together, they describe one sequence in which each difficulty creates the conditions for the next and the sequence returns to its own starting point, as Figure 1 sets out. Establishing that this structure exists is the contribution this review claims, and each direction in the second half of this section is traced to a point within it.</w:t>
      </w:r>
    </w:p>
    <w:p w14:paraId="71559B18" w14:textId="77777777" w:rsidR="00E3160C" w:rsidRPr="00E3160C" w:rsidRDefault="00E3160C" w:rsidP="00E3160C">
      <w:pPr>
        <w:spacing w:before="120"/>
        <w:ind w:firstLine="244"/>
        <w:jc w:val="center"/>
        <w:rPr>
          <w:noProof/>
          <w:lang w:val="en-GB"/>
        </w:rPr>
      </w:pPr>
      <w:r>
        <w:rPr>
          <w:noProof/>
          <w:lang w:val="en-GB"/>
        </w:rPr>
        <w:drawing>
          <wp:inline distT="0" distB="0" distL="0" distR="0" wp14:anchorId="3F73D192" wp14:editId="70317232">
            <wp:extent cx="5054600" cy="2085109"/>
            <wp:effectExtent l="0" t="0" r="0" b="0"/>
            <wp:docPr id="11538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5015" cy="2093531"/>
                    </a:xfrm>
                    <a:prstGeom prst="rect">
                      <a:avLst/>
                    </a:prstGeom>
                    <a:noFill/>
                    <a:ln>
                      <a:noFill/>
                    </a:ln>
                  </pic:spPr>
                </pic:pic>
              </a:graphicData>
            </a:graphic>
          </wp:inline>
        </w:drawing>
      </w:r>
    </w:p>
    <w:p w14:paraId="7C2BD6AF" w14:textId="77777777" w:rsidR="003E79DB" w:rsidRPr="003E79DB" w:rsidRDefault="003E79DB" w:rsidP="003E79DB">
      <w:pPr>
        <w:spacing w:before="120"/>
        <w:ind w:firstLine="244"/>
        <w:jc w:val="center"/>
        <w:rPr>
          <w:b/>
          <w:bCs/>
          <w:sz w:val="24"/>
          <w:szCs w:val="24"/>
        </w:rPr>
      </w:pPr>
      <w:r>
        <w:rPr>
          <w:b/>
          <w:bCs/>
          <w:sz w:val="24"/>
          <w:szCs w:val="24"/>
        </w:rPr>
        <w:t>Figure 1. The Compounding Chain in Malaysian Code-Mixed Sentiment Annotation</w:t>
      </w:r>
    </w:p>
    <w:p w14:paraId="38D7F83A" w14:textId="77777777" w:rsidR="003E79DB" w:rsidRPr="003E79DB" w:rsidRDefault="003E79DB" w:rsidP="003E79DB">
      <w:pPr>
        <w:spacing w:before="120"/>
        <w:ind w:firstLine="244"/>
        <w:jc w:val="both"/>
        <w:rPr>
          <w:sz w:val="24"/>
          <w:szCs w:val="24"/>
          <w:lang w:val="en-GB"/>
        </w:rPr>
      </w:pPr>
      <w:r>
        <w:rPr>
          <w:i w:val="0"/>
          <w:sz w:val="24"/>
          <w:szCs w:val="24"/>
          <w:lang w:val="en-GB"/>
        </w:rPr>
        <w:t xml:space="preserve">The first link runs from linguistic structure to systematic disagreement. Section 2 established three properties of this text. The consequence is not only that agreement is harder to reach. It is that disagreement takes a particular form. Where one annotator reads </w:t>
      </w:r>
      <w:r>
        <w:rPr>
          <w:i/>
          <w:sz w:val="24"/>
          <w:szCs w:val="24"/>
          <w:lang w:val="en-GB"/>
        </w:rPr>
        <w:t>lah</w:t>
      </w:r>
      <w:r>
        <w:rPr>
          <w:i w:val="0"/>
          <w:sz w:val="24"/>
          <w:szCs w:val="24"/>
          <w:lang w:val="en-GB"/>
        </w:rPr>
        <w:t xml:space="preserve"> as a softener and another reads it as a marker of sarcasm, and each reading is stable, the disagreement recurs on the same construction in the same direction. Random disagreement is reduced by recruiting more annotators, because independent errors average out. Systematic disagreement is not reduced in this way, because additional annotators bring their own stable readings rather than noise around a shared reading (Pavlick and Kwiatkowski, 2019). Pooling annotators, the response examined in Section 3.3, is therefore unsuited to the type of unreliability this text produces.</w:t>
      </w:r>
    </w:p>
    <w:p w14:paraId="505A9E43" w14:textId="77777777" w:rsidR="003E79DB" w:rsidRPr="003E79DB" w:rsidRDefault="003E79DB" w:rsidP="003E79DB">
      <w:pPr>
        <w:spacing w:before="120"/>
        <w:ind w:firstLine="244"/>
        <w:jc w:val="both"/>
        <w:rPr>
          <w:sz w:val="24"/>
          <w:szCs w:val="24"/>
          <w:lang w:val="en-GB"/>
        </w:rPr>
      </w:pPr>
      <w:r>
        <w:rPr>
          <w:i w:val="0"/>
          <w:sz w:val="24"/>
          <w:szCs w:val="24"/>
          <w:lang w:val="en-GB"/>
        </w:rPr>
        <w:t>The second link runs from systematic disagreement to automation. Competent annotation of Malaysian code-mixed text requires a fluent bilingual reader, and that requirement follows from the linguistic properties of the text rather than from any general fact about annotation. Mohd Shamsuddin et al. (2024) give cost and annotator availability as their reason for automating, stating that their tools "eliminated the need to find speakers fluent in Malay and English to label the dataset". Automation of annotation for this text is therefore a consequence of the linguistic difficulty rather than an independent methodological preference.</w:t>
      </w:r>
    </w:p>
    <w:p w14:paraId="3F765E56" w14:textId="77777777" w:rsidR="0005406F" w:rsidRPr="0005406F" w:rsidRDefault="0005406F" w:rsidP="0005406F">
      <w:pPr>
        <w:spacing w:before="120"/>
        <w:ind w:firstLine="244"/>
        <w:jc w:val="both"/>
        <w:rPr>
          <w:sz w:val="24"/>
          <w:szCs w:val="24"/>
          <w:lang w:val="en-GB"/>
        </w:rPr>
      </w:pPr>
      <w:r>
        <w:rPr>
          <w:i w:val="0"/>
          <w:sz w:val="24"/>
          <w:szCs w:val="24"/>
          <w:lang w:val="en-GB"/>
        </w:rPr>
        <w:t>The third link runs from automation to a shared limitation. The tools used for automation in the reviewed studies are ones built for other, well-resourced languages. Section 3.3 documented the one Malaysian case. None of the three analysers is described as covering Malay, each skewed neutral before any vote was taken, and voting cancels error only to the extent that the voters fail independently. Where the property the voters share is the language none of them covers, the ensemble confirms the error instead of cancelling it.</w:t>
      </w:r>
    </w:p>
    <w:p w14:paraId="3B0DD598" w14:textId="77777777" w:rsidR="003E79DB" w:rsidRPr="003E79DB" w:rsidRDefault="003E79DB" w:rsidP="003E79DB">
      <w:pPr>
        <w:spacing w:before="120"/>
        <w:ind w:firstLine="244"/>
        <w:jc w:val="both"/>
        <w:rPr>
          <w:sz w:val="24"/>
          <w:szCs w:val="24"/>
          <w:lang w:val="en-GB"/>
        </w:rPr>
      </w:pPr>
      <w:r>
        <w:rPr>
          <w:i w:val="0"/>
          <w:sz w:val="24"/>
          <w:szCs w:val="24"/>
          <w:lang w:val="en-GB"/>
        </w:rPr>
        <w:t>The fourth link runs from the shared limitation to extreme class skew. False neutrals accumulate rather than being corrected, and the corpus acquires a class distribution that no participant intended. MESocSentiment reaches 78.23% neutral. Posts on which the three analysers could not agree were removed, 512 of them, on the stated ground of retaining only "absolute categories". Those posts are not a random sample. They are the contested, heavily code-switched cases that the first link identifies as the source of the difficulty. Removing them raised the neutral share and, by construction, the agreement among the three analysers.</w:t>
      </w:r>
    </w:p>
    <w:p w14:paraId="1CC80595" w14:textId="77777777" w:rsidR="003E79DB" w:rsidRPr="003E79DB" w:rsidRDefault="00F304DE" w:rsidP="003E79DB">
      <w:pPr>
        <w:spacing w:before="120"/>
        <w:ind w:firstLine="244"/>
        <w:jc w:val="both"/>
        <w:rPr>
          <w:sz w:val="24"/>
          <w:szCs w:val="24"/>
          <w:lang w:val="en-GB"/>
        </w:rPr>
      </w:pPr>
      <w:r>
        <w:rPr>
          <w:i w:val="0"/>
          <w:sz w:val="24"/>
          <w:szCs w:val="24"/>
        </w:rPr>
        <w:t>The fifth link runs from extreme class skew to the difficulty of establishing reliability, and it is where the two halves of this review meet. The distribution produced at the fourth link is the specific condition that makes a chance-corrected coefficient more difficult to interpret (Feinstein and Cicchetti, 1990; Byrt et al., 1993). A researcher who suspects the labels are unsound and computes a coefficient obtains a low value. That value is consistent with poor annotation, and it is also consistent with competent annotation of a skewed corpus. Raw agreement carries the same ambiguity in the opposite direction (Artstein and Poesio, 2008). The defect and the inability to detect the defect have one cause. That is what separates an unresolved problem from a merely difficult one: here the quality check is least informative where quality is lowest.</w:t>
      </w:r>
    </w:p>
    <w:p w14:paraId="408AE50B" w14:textId="77777777" w:rsidR="003E79DB" w:rsidRPr="003E79DB" w:rsidRDefault="003E79DB" w:rsidP="003E79DB">
      <w:pPr>
        <w:spacing w:before="120"/>
        <w:ind w:firstLine="244"/>
        <w:jc w:val="both"/>
        <w:rPr>
          <w:sz w:val="24"/>
          <w:szCs w:val="24"/>
          <w:lang w:val="en-GB"/>
        </w:rPr>
      </w:pPr>
      <w:r>
        <w:rPr>
          <w:i w:val="0"/>
          <w:sz w:val="24"/>
          <w:szCs w:val="24"/>
          <w:lang w:val="en-GB"/>
        </w:rPr>
        <w:t>The sixth link closes the cycle. Corpora whose reliability was never established are released, trained on and evaluated against, so every later comparison of models inherits an error term that nobody has quantified. The more consequential arrow in Figure 1 is the one that returns to the start. The annotators used to build the next corpus are fine-tuned on the last, and Section 3.4 showed that a fine-tuned encoder resolves only the variation it has been shown. The limitations of one generation of labels are therefore transmitted to the instruments that produce the next. The chain does not merely persist. It reproduces itself.</w:t>
      </w:r>
    </w:p>
    <w:p w14:paraId="2B81AE84" w14:textId="77777777" w:rsidR="003E79DB" w:rsidRPr="003E79DB" w:rsidRDefault="003E79DB" w:rsidP="003E79DB">
      <w:pPr>
        <w:spacing w:before="120"/>
        <w:ind w:firstLine="244"/>
        <w:jc w:val="both"/>
        <w:rPr>
          <w:sz w:val="24"/>
          <w:szCs w:val="24"/>
          <w:lang w:val="en-GB"/>
        </w:rPr>
      </w:pPr>
      <w:r>
        <w:rPr>
          <w:i w:val="0"/>
          <w:sz w:val="24"/>
          <w:szCs w:val="24"/>
          <w:lang w:val="en-GB"/>
        </w:rPr>
        <w:t>Read as a whole, the chain explains a pattern that the individual studies cannot. Each reviewed work intervenes at one link and does so competently. None addresses the chain as a chain. An intervention at one link is assessed with an agreement statistic compromised at another link, so the assessment cannot establish whether the intervention worked. That is why effort in this area has been absorbed without accumulating.</w:t>
      </w:r>
    </w:p>
    <w:p w14:paraId="2910B76D" w14:textId="77777777" w:rsidR="00E10A8D" w:rsidRPr="00E10A8D" w:rsidRDefault="00E10A8D" w:rsidP="00E10A8D">
      <w:pPr>
        <w:spacing w:before="120"/>
        <w:ind w:firstLine="244"/>
        <w:jc w:val="both"/>
        <w:rPr>
          <w:sz w:val="24"/>
          <w:szCs w:val="24"/>
          <w:lang w:val="en-GB"/>
        </w:rPr>
      </w:pPr>
      <w:r>
        <w:rPr>
          <w:i w:val="0"/>
          <w:sz w:val="24"/>
          <w:szCs w:val="24"/>
          <w:lang w:val="en-GB"/>
        </w:rPr>
        <w:t>The chain identifies where intervention would matter, not which intervention would succeed. Each of the four directions below is traced to a link, since a direction that cannot be traced to a finding is a preference rather than a conclusion.</w:t>
      </w:r>
    </w:p>
    <w:p w14:paraId="0159904A" w14:textId="77777777" w:rsidR="003E79DB" w:rsidRPr="003E79DB" w:rsidRDefault="003E79DB" w:rsidP="003E79DB">
      <w:pPr>
        <w:spacing w:before="120"/>
        <w:ind w:firstLine="244"/>
        <w:jc w:val="both"/>
        <w:rPr>
          <w:sz w:val="24"/>
          <w:szCs w:val="24"/>
          <w:lang w:val="en-GB"/>
        </w:rPr>
      </w:pPr>
      <w:r>
        <w:rPr>
          <w:i w:val="0"/>
          <w:sz w:val="24"/>
          <w:szCs w:val="24"/>
          <w:lang w:val="en-GB"/>
        </w:rPr>
        <w:t>The first direction is agreement measurement under class skew, and it follows from the fifth link. Prevalence-adjusted coefficients exist (Byrt et al., 1993), but no study examined here evaluates them on code-mixed sentiment data, so it is not known which behaves best under the distributions these corpora exhibit. The study requires no new data collection. It requires only an existing annotated corpus, a set of candidate coefficients, and a comparison of how they behave as skew increases. It is a precondition for the other directions.</w:t>
      </w:r>
    </w:p>
    <w:p w14:paraId="6401297E" w14:textId="77777777" w:rsidR="003E79DB" w:rsidRPr="003E79DB" w:rsidRDefault="003E79DB" w:rsidP="003E79DB">
      <w:pPr>
        <w:spacing w:before="120"/>
        <w:ind w:firstLine="244"/>
        <w:jc w:val="both"/>
        <w:rPr>
          <w:sz w:val="24"/>
          <w:szCs w:val="24"/>
          <w:lang w:val="en-GB"/>
        </w:rPr>
      </w:pPr>
      <w:r>
        <w:rPr>
          <w:i w:val="0"/>
          <w:sz w:val="24"/>
          <w:szCs w:val="24"/>
          <w:lang w:val="en-GB"/>
        </w:rPr>
        <w:t>The second direction is a minimum reporting standard, and it follows from Table 3. A minimum set for any newly released corpus would comprise six elements: (1) the number of annotators and their stated qualification; (2) the availability of the annotation guideline; (3) the variant of the coefficient and the task it was computed for; (4) per-class rather than aggregate agreement; (5) the full class distribution; and (6) the distribution of annotator judgements for each item, together with any items discarded, rather than only the resolved label. Per-class agreement deserves particular emphasis. An aggregate figure on a skewed corpus is dominated by the majority class, and it can conceal near-total disagreement on the minority polarities that matter most. The sixth element follows from the fourth link. Uma et al. (2021) report that models trained on the full distribution of annotator judgements can outperform models trained on aggregated labels. A corpus that reports what it discarded also allows a reader to judge whether its reported reliability was earned or obtained by removing the contested items.</w:t>
      </w:r>
    </w:p>
    <w:p w14:paraId="1BA1B2F9" w14:textId="77777777" w:rsidR="003E79DB" w:rsidRPr="003E79DB" w:rsidRDefault="003E79DB" w:rsidP="003E79DB">
      <w:pPr>
        <w:spacing w:before="120"/>
        <w:ind w:firstLine="244"/>
        <w:jc w:val="both"/>
        <w:rPr>
          <w:sz w:val="24"/>
          <w:szCs w:val="24"/>
          <w:lang w:val="en-GB"/>
        </w:rPr>
      </w:pPr>
      <w:r>
        <w:rPr>
          <w:i w:val="0"/>
          <w:sz w:val="24"/>
          <w:szCs w:val="24"/>
          <w:lang w:val="en-GB"/>
        </w:rPr>
        <w:t xml:space="preserve">The third direction is a shared annotation convention for affect-bearing particles, and it follows from the first link. Because the disagreement these particles generate is systematic rather than random, the appropriate remedy is a shared convention rather than additional annotators. No such convention was found among the studies reviewed here for </w:t>
      </w:r>
      <w:r>
        <w:rPr>
          <w:i/>
          <w:sz w:val="24"/>
          <w:szCs w:val="24"/>
          <w:lang w:val="en-GB"/>
        </w:rPr>
        <w:t>lah</w:t>
      </w:r>
      <w:r>
        <w:rPr>
          <w:i w:val="0"/>
          <w:sz w:val="24"/>
          <w:szCs w:val="24"/>
          <w:lang w:val="en-GB"/>
        </w:rPr>
        <w:t xml:space="preserve">, </w:t>
      </w:r>
      <w:r>
        <w:rPr>
          <w:i/>
          <w:sz w:val="24"/>
          <w:szCs w:val="24"/>
          <w:lang w:val="en-GB"/>
        </w:rPr>
        <w:t>kan</w:t>
      </w:r>
      <w:r>
        <w:rPr>
          <w:i w:val="0"/>
          <w:sz w:val="24"/>
          <w:szCs w:val="24"/>
          <w:lang w:val="en-GB"/>
        </w:rPr>
        <w:t xml:space="preserve"> and their equivalents. Mohammad (2016) proposes a questionnaire that separates the speaker's emotional state, the target of the opinion and the attitude taken toward it. It also treats sarcasm, ridicule and mockery as a distinct response rather than folding them into polarity, which is the ambiguity Section 2.2 identified. Kong et al. (2023) adapt this scheme into a four-question guideline for Malaysian tweets. What is absent is not the design but its adaptation to Malaysian particles and its adoption across projects.</w:t>
      </w:r>
    </w:p>
    <w:p w14:paraId="4C8DB492" w14:textId="77777777" w:rsidR="003E79DB" w:rsidRPr="003E79DB" w:rsidRDefault="003E79DB" w:rsidP="003E79DB">
      <w:pPr>
        <w:spacing w:before="120"/>
        <w:ind w:firstLine="244"/>
        <w:jc w:val="both"/>
        <w:rPr>
          <w:sz w:val="24"/>
          <w:szCs w:val="24"/>
          <w:lang w:val="en-GB"/>
        </w:rPr>
      </w:pPr>
      <w:r>
        <w:rPr>
          <w:i w:val="0"/>
          <w:sz w:val="24"/>
          <w:szCs w:val="24"/>
          <w:lang w:val="en-GB"/>
        </w:rPr>
        <w:t>The fourth direction is to test the independence premise, and it follows from the third link. Every consensus mechanism in the reviewed studies depends on the premise that annotators of different architecture fail independently, and on Malaysian code-mixed text the premise is asserted and not measured. The study is a direct one: label a common sample with annotators of deliberately different competence, and measure the correlation of their errors rather than their individual accuracies. Low correlation would justify the aggregation strategies already in use. High correlation would indicate that consensus on this text adds confidence without adding evidence.</w:t>
      </w:r>
    </w:p>
    <w:p w14:paraId="7355119D" w14:textId="77777777" w:rsidR="00E10A8D" w:rsidRPr="00E10A8D" w:rsidRDefault="00E10A8D" w:rsidP="00E10A8D">
      <w:pPr>
        <w:spacing w:before="120"/>
        <w:jc w:val="both"/>
        <w:rPr>
          <w:sz w:val="24"/>
          <w:szCs w:val="24"/>
          <w:lang w:val="en-GB"/>
        </w:rPr>
      </w:pPr>
      <w:r>
        <w:rPr>
          <w:sz w:val="24"/>
          <w:szCs w:val="24"/>
          <w:lang w:val="en-GB"/>
        </w:rPr>
        <w:t>These are directions rather than results. The claim of this review is not that they will succeed, but that Figure 1 identifies where effort in this area is currently absorbed without accumulating.</w:t>
      </w:r>
    </w:p>
    <w:p w14:paraId="2191A64E" w14:textId="77777777" w:rsidR="00643023" w:rsidRDefault="00643023" w:rsidP="00E10A8D">
      <w:pPr>
        <w:jc w:val="both"/>
        <w:rPr>
          <w:b/>
          <w:bCs/>
          <w:sz w:val="24"/>
          <w:szCs w:val="24"/>
          <w:lang w:val="en-GB"/>
        </w:rPr>
      </w:pPr>
    </w:p>
    <w:p w14:paraId="6BA5B1F6" w14:textId="77777777" w:rsidR="00643023" w:rsidRPr="00643023" w:rsidRDefault="00C127AD" w:rsidP="00E10A8D">
      <w:pPr>
        <w:keepNext/>
        <w:jc w:val="both"/>
        <w:rPr>
          <w:b/>
          <w:bCs/>
          <w:sz w:val="24"/>
          <w:szCs w:val="24"/>
          <w:lang w:val="en-GB"/>
        </w:rPr>
      </w:pPr>
      <w:r>
        <w:rPr>
          <w:b/>
          <w:bCs/>
          <w:i w:val="0"/>
          <w:sz w:val="26"/>
          <w:szCs w:val="24"/>
          <w:lang w:val="en-GB"/>
        </w:rPr>
        <w:t>6. Conclusion</w:t>
      </w:r>
    </w:p>
    <w:p w14:paraId="4EA909FA" w14:textId="77777777" w:rsidR="00643023" w:rsidRPr="00643023" w:rsidRDefault="00643023" w:rsidP="00643023">
      <w:pPr>
        <w:spacing w:before="120"/>
        <w:ind w:firstLine="244"/>
        <w:jc w:val="both"/>
        <w:rPr>
          <w:sz w:val="24"/>
          <w:szCs w:val="24"/>
          <w:lang w:val="en-GB"/>
        </w:rPr>
      </w:pPr>
      <w:r>
        <w:rPr>
          <w:i w:val="0"/>
          <w:sz w:val="24"/>
          <w:szCs w:val="24"/>
          <w:lang w:val="en-GB"/>
        </w:rPr>
        <w:t>This review examined one question: why reliable annotation and evaluation of Malaysian Malay-English code-mixed sentiment data have not yet been established. One common explanation concerns the model architecture, and the evidence assembled here indicates that it is incomplete. Model choice accounts for part of the difficulty, and the rest arises earlier, in the sentiment labels themselves and in the evidence offered that those labels are sound. What this review claims is not any single finding but the relation between the findings, set out in Figure 1 as a chain in which each difficulty creates the conditions for the next. An intervention at any one point in that chain is assessed by an agreement statistic compromised at another. Until reliability can be measured under the class distributions these corpora produce, no corpus built hereafter can be shown to improve on the ones examined here.</w:t>
      </w:r>
    </w:p>
    <w:p w14:paraId="5C66D83F" w14:textId="77777777" w:rsidR="00AC2D40" w:rsidRDefault="00AC2D40" w:rsidP="00483967">
      <w:pPr>
        <w:rPr>
          <w:b/>
          <w:bCs/>
          <w:sz w:val="26"/>
          <w:szCs w:val="26"/>
        </w:rPr>
      </w:pPr>
    </w:p>
    <w:p w14:paraId="7082D861" w14:textId="77777777" w:rsidR="00643023" w:rsidRPr="00483967" w:rsidRDefault="00643023" w:rsidP="00483967">
      <w:pPr>
        <w:rPr>
          <w:b/>
          <w:bCs/>
          <w:sz w:val="24"/>
          <w:szCs w:val="24"/>
        </w:rPr>
      </w:pPr>
      <w:r>
        <w:rPr>
          <w:b/>
          <w:bCs/>
          <w:sz w:val="26"/>
          <w:szCs w:val="26"/>
        </w:rPr>
        <w:t>References</w:t>
      </w:r>
    </w:p>
    <w:p w14:paraId="66B3E5DD"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1E864D64" w14:textId="77777777" w:rsidR="00643023" w:rsidRPr="009C6090" w:rsidRDefault="00643023" w:rsidP="00643023">
      <w:pPr>
        <w:spacing w:after="80"/>
        <w:ind w:left="340" w:hanging="340"/>
        <w:jc w:val="both"/>
      </w:pPr>
      <w:proofErr w:type="spellStart"/>
      <w:r>
        <w:rPr>
          <w:sz w:val="16"/>
          <w:szCs w:val="16"/>
        </w:rPr>
        <w:lastRenderedPageBreak/>
        <w:t>Adilazuarda</w:t>
      </w:r>
      <w:proofErr w:type="spellEnd"/>
      <w:r>
        <w:rPr>
          <w:sz w:val="16"/>
          <w:szCs w:val="16"/>
        </w:rPr>
        <w:t xml:space="preserve">, M. F., </w:t>
      </w:r>
      <w:proofErr w:type="spellStart"/>
      <w:r>
        <w:rPr>
          <w:sz w:val="16"/>
          <w:szCs w:val="16"/>
        </w:rPr>
        <w:t>Cahyawijaya</w:t>
      </w:r>
      <w:proofErr w:type="spellEnd"/>
      <w:r>
        <w:rPr>
          <w:sz w:val="16"/>
          <w:szCs w:val="16"/>
        </w:rPr>
        <w:t xml:space="preserve">, S., Winata, G. I., Fung, P., and </w:t>
      </w:r>
      <w:proofErr w:type="spellStart"/>
      <w:r>
        <w:rPr>
          <w:sz w:val="16"/>
          <w:szCs w:val="16"/>
        </w:rPr>
        <w:t>Purwarianti</w:t>
      </w:r>
      <w:proofErr w:type="spellEnd"/>
      <w:r>
        <w:rPr>
          <w:sz w:val="16"/>
          <w:szCs w:val="16"/>
        </w:rPr>
        <w:t xml:space="preserve">, A. (2022). </w:t>
      </w:r>
      <w:proofErr w:type="spellStart"/>
      <w:r>
        <w:rPr>
          <w:sz w:val="16"/>
          <w:szCs w:val="16"/>
        </w:rPr>
        <w:t>IndoRobusta</w:t>
      </w:r>
      <w:proofErr w:type="spellEnd"/>
      <w:r>
        <w:rPr>
          <w:sz w:val="16"/>
          <w:szCs w:val="16"/>
        </w:rPr>
        <w:t>: Towards robustness against diverse code-mixed Indonesian local languages. Proceedings of the First Workshop on Scaling Up Multilingual Evaluation (</w:t>
      </w:r>
      <w:proofErr w:type="spellStart"/>
      <w:r>
        <w:rPr>
          <w:sz w:val="16"/>
          <w:szCs w:val="16"/>
        </w:rPr>
        <w:t>SUMEval</w:t>
      </w:r>
      <w:proofErr w:type="spellEnd"/>
      <w:r>
        <w:rPr>
          <w:sz w:val="16"/>
          <w:szCs w:val="16"/>
        </w:rPr>
        <w:t>), 25–34.</w:t>
      </w:r>
    </w:p>
    <w:p w14:paraId="2153C3B5" w14:textId="77777777" w:rsidR="00643023" w:rsidRPr="009C6090" w:rsidRDefault="00643023" w:rsidP="00643023">
      <w:pPr>
        <w:spacing w:after="80"/>
        <w:ind w:left="340" w:hanging="340"/>
        <w:jc w:val="both"/>
      </w:pPr>
      <w:proofErr w:type="spellStart"/>
      <w:r>
        <w:rPr>
          <w:sz w:val="16"/>
          <w:szCs w:val="16"/>
        </w:rPr>
        <w:t>AlAfnan</w:t>
      </w:r>
      <w:proofErr w:type="spellEnd"/>
      <w:r>
        <w:rPr>
          <w:sz w:val="16"/>
          <w:szCs w:val="16"/>
        </w:rPr>
        <w:t xml:space="preserve">, M. A., </w:t>
      </w:r>
      <w:proofErr w:type="spellStart"/>
      <w:r>
        <w:rPr>
          <w:sz w:val="16"/>
          <w:szCs w:val="16"/>
        </w:rPr>
        <w:t>MohdZuki</w:t>
      </w:r>
      <w:proofErr w:type="spellEnd"/>
      <w:r>
        <w:rPr>
          <w:sz w:val="16"/>
          <w:szCs w:val="16"/>
        </w:rPr>
        <w:t xml:space="preserve">, S. F., and </w:t>
      </w:r>
      <w:proofErr w:type="spellStart"/>
      <w:r>
        <w:rPr>
          <w:sz w:val="16"/>
          <w:szCs w:val="16"/>
        </w:rPr>
        <w:t>AlAfnan</w:t>
      </w:r>
      <w:proofErr w:type="spellEnd"/>
      <w:r>
        <w:rPr>
          <w:sz w:val="16"/>
          <w:szCs w:val="16"/>
        </w:rPr>
        <w:t>, S. M. (2025). Blending identities: Exploring the linguistic, cultural, and pragmatic dimensions of Manglish in the Malaysian society. Studies in Media and Communication, 13(3). https://doi.org/10.11114/smc.v13i3.7654</w:t>
      </w:r>
    </w:p>
    <w:p w14:paraId="2587AA15" w14:textId="77777777" w:rsidR="00643023" w:rsidRPr="009C6090" w:rsidRDefault="00643023" w:rsidP="00643023">
      <w:pPr>
        <w:spacing w:after="80"/>
        <w:ind w:left="340" w:hanging="340"/>
        <w:jc w:val="both"/>
      </w:pPr>
      <w:proofErr w:type="spellStart"/>
      <w:r>
        <w:rPr>
          <w:sz w:val="16"/>
          <w:szCs w:val="16"/>
        </w:rPr>
        <w:t>Artstein</w:t>
      </w:r>
      <w:proofErr w:type="spellEnd"/>
      <w:r>
        <w:rPr>
          <w:sz w:val="16"/>
          <w:szCs w:val="16"/>
        </w:rPr>
        <w:t xml:space="preserve">, R., and </w:t>
      </w:r>
      <w:proofErr w:type="spellStart"/>
      <w:r>
        <w:rPr>
          <w:sz w:val="16"/>
          <w:szCs w:val="16"/>
        </w:rPr>
        <w:t>Poesio</w:t>
      </w:r>
      <w:proofErr w:type="spellEnd"/>
      <w:r>
        <w:rPr>
          <w:sz w:val="16"/>
          <w:szCs w:val="16"/>
        </w:rPr>
        <w:t>, M. (2008). Survey article: Inter-coder agreement for computational linguistics. Computational Linguistics, 34(4), 555–596. https://doi.org/10.1162/coli.07-034-R2</w:t>
      </w:r>
    </w:p>
    <w:p w14:paraId="6094AB5D"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27EF06B"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1ADA0659"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9325721"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5B455BD0" w14:textId="77777777" w:rsidR="00643023" w:rsidRPr="009C6090" w:rsidRDefault="00643023" w:rsidP="00643023">
      <w:pPr>
        <w:spacing w:after="80"/>
        <w:ind w:left="340" w:hanging="340"/>
        <w:jc w:val="both"/>
      </w:pPr>
      <w:proofErr w:type="spellStart"/>
      <w:r>
        <w:rPr>
          <w:sz w:val="16"/>
          <w:szCs w:val="16"/>
        </w:rPr>
        <w:t>Conneau</w:t>
      </w:r>
      <w:proofErr w:type="spellEnd"/>
      <w:r>
        <w:rPr>
          <w:sz w:val="16"/>
          <w:szCs w:val="16"/>
        </w:rPr>
        <w:t>,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0EE017B4"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5F9FF66"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22C7CFF0"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6680E288" w14:textId="77777777" w:rsidR="00643023" w:rsidRPr="009C6090" w:rsidRDefault="00643023" w:rsidP="00643023">
      <w:pPr>
        <w:spacing w:after="80"/>
        <w:ind w:left="340" w:hanging="340"/>
        <w:jc w:val="both"/>
      </w:pPr>
      <w:proofErr w:type="spellStart"/>
      <w:r>
        <w:rPr>
          <w:sz w:val="16"/>
          <w:szCs w:val="16"/>
        </w:rPr>
        <w:t>Doğruöz</w:t>
      </w:r>
      <w:proofErr w:type="spellEnd"/>
      <w:r>
        <w:rPr>
          <w:sz w:val="16"/>
          <w:szCs w:val="16"/>
        </w:rPr>
        <w:t>,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797F6C05"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285FFC3F" w14:textId="77777777" w:rsidR="00643023" w:rsidRPr="009C6090" w:rsidRDefault="00643023" w:rsidP="00643023">
      <w:pPr>
        <w:spacing w:after="80"/>
        <w:ind w:left="340" w:hanging="340"/>
        <w:jc w:val="both"/>
      </w:pPr>
      <w:proofErr w:type="spellStart"/>
      <w:r>
        <w:rPr>
          <w:sz w:val="16"/>
          <w:szCs w:val="16"/>
        </w:rPr>
        <w:t>Frénay</w:t>
      </w:r>
      <w:proofErr w:type="spellEnd"/>
      <w:r>
        <w:rPr>
          <w:sz w:val="16"/>
          <w:szCs w:val="16"/>
        </w:rPr>
        <w:t xml:space="preserve">, B., and </w:t>
      </w:r>
      <w:proofErr w:type="spellStart"/>
      <w:r>
        <w:rPr>
          <w:sz w:val="16"/>
          <w:szCs w:val="16"/>
        </w:rPr>
        <w:t>Verleysen</w:t>
      </w:r>
      <w:proofErr w:type="spellEnd"/>
      <w:r>
        <w:rPr>
          <w:sz w:val="16"/>
          <w:szCs w:val="16"/>
        </w:rPr>
        <w:t>, M. (2014). Classification in the presence of label noise: A survey. IEEE Transactions on Neural Networks and Learning Systems, 25(5), 845–869. https://doi.org/10.1109/TNNLS.2013.2292894</w:t>
      </w:r>
    </w:p>
    <w:p w14:paraId="055CBD41" w14:textId="77777777" w:rsidR="00643023" w:rsidRPr="009C6090" w:rsidRDefault="00643023" w:rsidP="00643023">
      <w:pPr>
        <w:spacing w:after="80"/>
        <w:ind w:left="340" w:hanging="340"/>
        <w:jc w:val="both"/>
      </w:pPr>
      <w:r>
        <w:rPr>
          <w:sz w:val="16"/>
          <w:szCs w:val="16"/>
        </w:rPr>
        <w:t>Gilardi, F., Alizadeh, M., and Kubli, M. (2023). ChatGPT outperforms crowd workers for text-annotation tasks. Proceedings of the National Academy of Sciences, 120(30), e2305016120. https://doi.org/10.1073/pnas.2305016120</w:t>
      </w:r>
    </w:p>
    <w:p w14:paraId="51D51B36"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7781D416" w14:textId="77777777" w:rsidR="00643023" w:rsidRPr="009C6090" w:rsidRDefault="00643023" w:rsidP="00643023">
      <w:pPr>
        <w:spacing w:after="80"/>
        <w:ind w:left="340" w:hanging="340"/>
        <w:jc w:val="both"/>
      </w:pPr>
      <w:r>
        <w:rPr>
          <w:sz w:val="16"/>
          <w:szCs w:val="16"/>
        </w:rPr>
        <w:t xml:space="preserve">Jadhav, S., Shanbhag, A., </w:t>
      </w:r>
      <w:proofErr w:type="spellStart"/>
      <w:r>
        <w:rPr>
          <w:sz w:val="16"/>
          <w:szCs w:val="16"/>
        </w:rPr>
        <w:t>Thakurdesai</w:t>
      </w:r>
      <w:proofErr w:type="spellEnd"/>
      <w:r>
        <w:rPr>
          <w:sz w:val="16"/>
          <w:szCs w:val="16"/>
        </w:rPr>
        <w:t>, A., Sinare, R., and Joshi, R. (2025). On limitations of LLM as annotator for low resource languages. Proceedings of the 8th International Conference on Natural Language and Speech Processing (ICNLSP-2025), 277–282.</w:t>
      </w:r>
    </w:p>
    <w:p w14:paraId="4AB2384B"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32266918" w14:textId="77777777" w:rsidR="00643023" w:rsidRPr="009C6090" w:rsidRDefault="00643023" w:rsidP="00643023">
      <w:pPr>
        <w:spacing w:after="80"/>
        <w:ind w:left="340" w:hanging="340"/>
        <w:jc w:val="both"/>
      </w:pPr>
      <w:proofErr w:type="spellStart"/>
      <w:r>
        <w:rPr>
          <w:sz w:val="16"/>
          <w:szCs w:val="16"/>
        </w:rPr>
        <w:t>Kasmuri</w:t>
      </w:r>
      <w:proofErr w:type="spellEnd"/>
      <w:r>
        <w:rPr>
          <w:sz w:val="16"/>
          <w:szCs w:val="16"/>
        </w:rPr>
        <w:t xml:space="preserve">, E., and </w:t>
      </w:r>
      <w:proofErr w:type="spellStart"/>
      <w:r>
        <w:rPr>
          <w:sz w:val="16"/>
          <w:szCs w:val="16"/>
        </w:rPr>
        <w:t>Basiron</w:t>
      </w:r>
      <w:proofErr w:type="spellEnd"/>
      <w:r>
        <w:rPr>
          <w:sz w:val="16"/>
          <w:szCs w:val="16"/>
        </w:rPr>
        <w:t>, H. (2019). Building a Malay-English code-switching subjectivity corpus for sentiment analysis. International Journal of Advanced Soft Computing and Its Applications, 11(1), 112–130.</w:t>
      </w:r>
    </w:p>
    <w:p w14:paraId="069A7B04" w14:textId="77777777" w:rsidR="00643023" w:rsidRPr="009C6090" w:rsidRDefault="00643023" w:rsidP="00643023">
      <w:pPr>
        <w:spacing w:after="80"/>
        <w:ind w:left="340" w:hanging="340"/>
        <w:jc w:val="both"/>
      </w:pPr>
      <w:r>
        <w:rPr>
          <w:sz w:val="16"/>
          <w:szCs w:val="16"/>
        </w:rPr>
        <w:t xml:space="preserve">Khanuja, S., </w:t>
      </w:r>
      <w:proofErr w:type="spellStart"/>
      <w:r>
        <w:rPr>
          <w:sz w:val="16"/>
          <w:szCs w:val="16"/>
        </w:rPr>
        <w:t>Dandapat</w:t>
      </w:r>
      <w:proofErr w:type="spellEnd"/>
      <w:r>
        <w:rPr>
          <w:sz w:val="16"/>
          <w:szCs w:val="16"/>
        </w:rPr>
        <w:t xml:space="preserve">, S., Srinivasan, A., Sitaram, S., and Choudhury, M. (2020). </w:t>
      </w:r>
      <w:proofErr w:type="spellStart"/>
      <w:r>
        <w:rPr>
          <w:sz w:val="16"/>
          <w:szCs w:val="16"/>
        </w:rPr>
        <w:t>GLUECoS</w:t>
      </w:r>
      <w:proofErr w:type="spellEnd"/>
      <w:r>
        <w:rPr>
          <w:sz w:val="16"/>
          <w:szCs w:val="16"/>
        </w:rPr>
        <w:t>: An evaluation benchmark for code-switched NLP. Proceedings of the 58th Annual Meeting of the Association for Computational Linguistics, 3575–3585. https://doi.org/10.18653/v1/2020.acl-main.329</w:t>
      </w:r>
    </w:p>
    <w:p w14:paraId="6F6DEBE4" w14:textId="77777777" w:rsidR="00643023" w:rsidRPr="009C6090" w:rsidRDefault="00643023" w:rsidP="00643023">
      <w:pPr>
        <w:spacing w:after="80"/>
        <w:ind w:left="340" w:hanging="340"/>
        <w:jc w:val="both"/>
      </w:pPr>
      <w:r>
        <w:rPr>
          <w:sz w:val="16"/>
          <w:szCs w:val="16"/>
        </w:rPr>
        <w:t xml:space="preserve">Kong, J. T. H., Juwono, F. H., Ngu, I. Y., </w:t>
      </w:r>
      <w:proofErr w:type="spellStart"/>
      <w:r>
        <w:rPr>
          <w:sz w:val="16"/>
          <w:szCs w:val="16"/>
        </w:rPr>
        <w:t>Nugraha</w:t>
      </w:r>
      <w:proofErr w:type="spellEnd"/>
      <w:r>
        <w:rPr>
          <w:sz w:val="16"/>
          <w:szCs w:val="16"/>
        </w:rPr>
        <w:t xml:space="preserve">, I. G. D., </w:t>
      </w:r>
      <w:proofErr w:type="spellStart"/>
      <w:r>
        <w:rPr>
          <w:sz w:val="16"/>
          <w:szCs w:val="16"/>
        </w:rPr>
        <w:t>Maraden</w:t>
      </w:r>
      <w:proofErr w:type="spellEnd"/>
      <w:r>
        <w:rPr>
          <w:sz w:val="16"/>
          <w:szCs w:val="16"/>
        </w:rPr>
        <w:t>, Y., and Wong, W. K. (2023). A mixed Malay-English language COVID-19 Twitter dataset: A sentiment analysis. Big Data and Cognitive Computing, 7(2), 61. https://doi.org/10.3390/bdcc7020061</w:t>
      </w:r>
    </w:p>
    <w:p w14:paraId="66FF86CE" w14:textId="77777777" w:rsidR="00643023" w:rsidRPr="009C6090" w:rsidRDefault="00643023" w:rsidP="00643023">
      <w:pPr>
        <w:spacing w:after="80"/>
        <w:ind w:left="340" w:hanging="340"/>
        <w:jc w:val="both"/>
      </w:pPr>
      <w:proofErr w:type="spellStart"/>
      <w:r>
        <w:rPr>
          <w:sz w:val="16"/>
          <w:szCs w:val="16"/>
        </w:rPr>
        <w:t>Manukonda</w:t>
      </w:r>
      <w:proofErr w:type="spellEnd"/>
      <w:r>
        <w:rPr>
          <w:sz w:val="16"/>
          <w:szCs w:val="16"/>
        </w:rPr>
        <w:t xml:space="preserve">, D. P., and Kodali, R. G. (2025). </w:t>
      </w:r>
      <w:proofErr w:type="spellStart"/>
      <w:r>
        <w:rPr>
          <w:sz w:val="16"/>
          <w:szCs w:val="16"/>
        </w:rPr>
        <w:t>byteSizedLLM@DravidianLangTech</w:t>
      </w:r>
      <w:proofErr w:type="spellEnd"/>
      <w:r>
        <w:rPr>
          <w:sz w:val="16"/>
          <w:szCs w:val="16"/>
        </w:rPr>
        <w:t xml:space="preserve"> 2025: Fake news detection in Dravidian languages using transliteration-aware XLM-</w:t>
      </w:r>
      <w:proofErr w:type="spellStart"/>
      <w:r>
        <w:rPr>
          <w:sz w:val="16"/>
          <w:szCs w:val="16"/>
        </w:rPr>
        <w:t>RoBERTa</w:t>
      </w:r>
      <w:proofErr w:type="spellEnd"/>
      <w:r>
        <w:rPr>
          <w:sz w:val="16"/>
          <w:szCs w:val="16"/>
        </w:rPr>
        <w:t xml:space="preserve"> and transformer encoder-decoder. Proceedings of the Fifth Workshop on Speech, Vision, and Language Technologies for Dravidian Languages, 176–181.</w:t>
      </w:r>
    </w:p>
    <w:p w14:paraId="73E38C23" w14:textId="77777777" w:rsidR="00643023" w:rsidRPr="009C6090" w:rsidRDefault="00643023" w:rsidP="00643023">
      <w:pPr>
        <w:spacing w:after="80"/>
        <w:ind w:left="340" w:hanging="340"/>
        <w:jc w:val="both"/>
      </w:pPr>
      <w:proofErr w:type="spellStart"/>
      <w:r>
        <w:rPr>
          <w:sz w:val="16"/>
          <w:szCs w:val="16"/>
        </w:rPr>
        <w:t>Maskat</w:t>
      </w:r>
      <w:proofErr w:type="spellEnd"/>
      <w:r>
        <w:rPr>
          <w:sz w:val="16"/>
          <w:szCs w:val="16"/>
        </w:rPr>
        <w:t>, R., and Rahman, N. A. (2020). Categorization of Malay social media text and normalization of spelling variations and vowel-less words. International Journal on Advanced Science, Engineering and Information Technology, 10(4), 1380–1386.</w:t>
      </w:r>
    </w:p>
    <w:p w14:paraId="7B840BDA"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13C7B531" w14:textId="77777777" w:rsidR="00643023" w:rsidRPr="009C6090" w:rsidRDefault="00643023" w:rsidP="00643023">
      <w:pPr>
        <w:spacing w:after="80"/>
        <w:ind w:left="340" w:hanging="340"/>
        <w:jc w:val="both"/>
      </w:pPr>
      <w:r>
        <w:rPr>
          <w:sz w:val="16"/>
          <w:szCs w:val="16"/>
        </w:rPr>
        <w:lastRenderedPageBreak/>
        <w:t xml:space="preserve">Mohd Shamsuddin, A. M., Samson Juan, S., Chua, S., and </w:t>
      </w:r>
      <w:proofErr w:type="spellStart"/>
      <w:r>
        <w:rPr>
          <w:sz w:val="16"/>
          <w:szCs w:val="16"/>
        </w:rPr>
        <w:t>Bramantoro</w:t>
      </w:r>
      <w:proofErr w:type="spellEnd"/>
      <w:r>
        <w:rPr>
          <w:sz w:val="16"/>
          <w:szCs w:val="16"/>
        </w:rPr>
        <w:t>, A. (2024). Semi-automatic sentiment identification for Malay-English code-switched data. Journal of Advanced Research Design, 123(1), 198–212. https://doi.org/10.37934/ard.123.1.198212</w:t>
      </w:r>
    </w:p>
    <w:p w14:paraId="6F7ECA2D" w14:textId="77777777" w:rsidR="00643023" w:rsidRPr="009C6090" w:rsidRDefault="00643023" w:rsidP="00643023">
      <w:pPr>
        <w:spacing w:after="80"/>
        <w:ind w:left="340" w:hanging="340"/>
        <w:jc w:val="both"/>
      </w:pPr>
      <w:proofErr w:type="spellStart"/>
      <w:r>
        <w:rPr>
          <w:sz w:val="16"/>
          <w:szCs w:val="16"/>
        </w:rPr>
        <w:t>Muysken</w:t>
      </w:r>
      <w:proofErr w:type="spellEnd"/>
      <w:r>
        <w:rPr>
          <w:sz w:val="16"/>
          <w:szCs w:val="16"/>
        </w:rPr>
        <w:t>, P. (2013). Language contact outcomes as the result of bilingual optimization strategies. Bilingualism: Language and Cognition, 16(4), 709–730. https://doi.org/10.1017/S1366728912000727</w:t>
      </w:r>
    </w:p>
    <w:p w14:paraId="6E1F1515"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3978C6D5" w14:textId="77777777" w:rsidR="00643023" w:rsidRPr="009C6090" w:rsidRDefault="00643023" w:rsidP="00643023">
      <w:pPr>
        <w:spacing w:after="80"/>
        <w:ind w:left="340" w:hanging="340"/>
        <w:jc w:val="both"/>
      </w:pPr>
      <w:r>
        <w:rPr>
          <w:sz w:val="16"/>
          <w:szCs w:val="16"/>
        </w:rPr>
        <w:t xml:space="preserve">Northcutt, C. G., </w:t>
      </w:r>
      <w:proofErr w:type="spellStart"/>
      <w:r>
        <w:rPr>
          <w:sz w:val="16"/>
          <w:szCs w:val="16"/>
        </w:rPr>
        <w:t>Athalye</w:t>
      </w:r>
      <w:proofErr w:type="spellEnd"/>
      <w:r>
        <w:rPr>
          <w:sz w:val="16"/>
          <w:szCs w:val="16"/>
        </w:rPr>
        <w:t>, A., and Mueller, J. (2021). Pervasive label errors in test sets destabilize machine learning benchmarks. Proceedings of the 35th Conference on Neural Information Processing Systems (</w:t>
      </w:r>
      <w:proofErr w:type="spellStart"/>
      <w:r>
        <w:rPr>
          <w:sz w:val="16"/>
          <w:szCs w:val="16"/>
        </w:rPr>
        <w:t>NeurIPS</w:t>
      </w:r>
      <w:proofErr w:type="spellEnd"/>
      <w:r>
        <w:rPr>
          <w:sz w:val="16"/>
          <w:szCs w:val="16"/>
        </w:rPr>
        <w:t>): Datasets and Benchmarks Track.</w:t>
      </w:r>
    </w:p>
    <w:p w14:paraId="6970AB2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2261CAFC" w14:textId="77777777" w:rsidR="00643023" w:rsidRPr="009C6090" w:rsidRDefault="00643023" w:rsidP="00643023">
      <w:pPr>
        <w:spacing w:after="80"/>
        <w:ind w:left="340" w:hanging="340"/>
        <w:jc w:val="both"/>
      </w:pPr>
      <w:proofErr w:type="spellStart"/>
      <w:r>
        <w:rPr>
          <w:sz w:val="16"/>
          <w:szCs w:val="16"/>
        </w:rPr>
        <w:t>Pontiki</w:t>
      </w:r>
      <w:proofErr w:type="spellEnd"/>
      <w:r>
        <w:rPr>
          <w:sz w:val="16"/>
          <w:szCs w:val="16"/>
        </w:rPr>
        <w:t xml:space="preserve">, M., Galanis, D., Papageorgiou, H., </w:t>
      </w:r>
      <w:proofErr w:type="spellStart"/>
      <w:r>
        <w:rPr>
          <w:sz w:val="16"/>
          <w:szCs w:val="16"/>
        </w:rPr>
        <w:t>Androutsopoulos</w:t>
      </w:r>
      <w:proofErr w:type="spellEnd"/>
      <w:r>
        <w:rPr>
          <w:sz w:val="16"/>
          <w:szCs w:val="16"/>
        </w:rPr>
        <w:t xml:space="preserve">, I., Manandhar, S., AL-Smadi, M., Al-Ayyoub, M., Zhao, Y., Qin, B., De Clercq, O., Hoste, V., Apidianaki, M., </w:t>
      </w:r>
      <w:proofErr w:type="spellStart"/>
      <w:r>
        <w:rPr>
          <w:sz w:val="16"/>
          <w:szCs w:val="16"/>
        </w:rPr>
        <w:t>Tannier</w:t>
      </w:r>
      <w:proofErr w:type="spellEnd"/>
      <w:r>
        <w:rPr>
          <w:sz w:val="16"/>
          <w:szCs w:val="16"/>
        </w:rPr>
        <w:t xml:space="preserve">, X., </w:t>
      </w:r>
      <w:proofErr w:type="spellStart"/>
      <w:r>
        <w:rPr>
          <w:sz w:val="16"/>
          <w:szCs w:val="16"/>
        </w:rPr>
        <w:t>Loukachevitch</w:t>
      </w:r>
      <w:proofErr w:type="spellEnd"/>
      <w:r>
        <w:rPr>
          <w:sz w:val="16"/>
          <w:szCs w:val="16"/>
        </w:rPr>
        <w:t>, N., Kotelnikov, E., Bel, N., Jiménez-Zafra, S. M., and Eryiğit, G. (2016). SemEval-2016 Task 5: Aspect based sentiment analysis. Proceedings of the 10th International Workshop on Semantic Evaluation (SemEval-2016), 19–30. https://doi.org/10.18653/v1/S16-1002</w:t>
      </w:r>
    </w:p>
    <w:p w14:paraId="1CB4EFA7"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645AA5CB" w14:textId="77777777" w:rsidR="00643023" w:rsidRPr="009C6090" w:rsidRDefault="00643023" w:rsidP="00643023">
      <w:pPr>
        <w:spacing w:after="80"/>
        <w:ind w:left="340" w:hanging="340"/>
        <w:jc w:val="both"/>
      </w:pPr>
      <w:proofErr w:type="spellStart"/>
      <w:r>
        <w:rPr>
          <w:sz w:val="16"/>
          <w:szCs w:val="16"/>
        </w:rPr>
        <w:t>Romadhona</w:t>
      </w:r>
      <w:proofErr w:type="spellEnd"/>
      <w:r>
        <w:rPr>
          <w:sz w:val="16"/>
          <w:szCs w:val="16"/>
        </w:rPr>
        <w:t xml:space="preserve">, N. P., Lu, S.-E., Lu, B.-H., and Tsai, R. T.-H. (2022). BRCC and </w:t>
      </w:r>
      <w:proofErr w:type="spellStart"/>
      <w:r>
        <w:rPr>
          <w:sz w:val="16"/>
          <w:szCs w:val="16"/>
        </w:rPr>
        <w:t>SentiBahasaRojak</w:t>
      </w:r>
      <w:proofErr w:type="spellEnd"/>
      <w:r>
        <w:rPr>
          <w:sz w:val="16"/>
          <w:szCs w:val="16"/>
        </w:rPr>
        <w:t>: The first Bahasa Rojak corpus for pretraining and sentiment analysis dataset. Proceedings of the 29th International Conference on Computational Linguistics (COLING), 4418–4428.</w:t>
      </w:r>
    </w:p>
    <w:p w14:paraId="04974B92" w14:textId="77777777" w:rsidR="00643023" w:rsidRPr="009C6090" w:rsidRDefault="00643023" w:rsidP="00643023">
      <w:pPr>
        <w:spacing w:after="80"/>
        <w:ind w:left="340" w:hanging="340"/>
        <w:jc w:val="both"/>
      </w:pPr>
      <w:r>
        <w:rPr>
          <w:sz w:val="16"/>
          <w:szCs w:val="16"/>
        </w:rPr>
        <w:t xml:space="preserve">Selvaraju, S., </w:t>
      </w:r>
      <w:proofErr w:type="spellStart"/>
      <w:r>
        <w:rPr>
          <w:sz w:val="16"/>
          <w:szCs w:val="16"/>
        </w:rPr>
        <w:t>Sjarif</w:t>
      </w:r>
      <w:proofErr w:type="spellEnd"/>
      <w:r>
        <w:rPr>
          <w:sz w:val="16"/>
          <w:szCs w:val="16"/>
        </w:rPr>
        <w:t>, N. N. A., and Anuar, M. S. M. (2024). Sentiment analysis in code mixing Malay text: A review. 2024 5th International Conference on Artificial Intelligence and Data Sciences (</w:t>
      </w:r>
      <w:proofErr w:type="spellStart"/>
      <w:r>
        <w:rPr>
          <w:sz w:val="16"/>
          <w:szCs w:val="16"/>
        </w:rPr>
        <w:t>AiDAS</w:t>
      </w:r>
      <w:proofErr w:type="spellEnd"/>
      <w:r>
        <w:rPr>
          <w:sz w:val="16"/>
          <w:szCs w:val="16"/>
        </w:rPr>
        <w:t>), 280–285. https://doi.org/10.1109/AiDAS63860.2024.10730298</w:t>
      </w:r>
    </w:p>
    <w:p w14:paraId="3B3AC5F4" w14:textId="77777777" w:rsidR="00643023" w:rsidRPr="009C6090" w:rsidRDefault="00643023" w:rsidP="00643023">
      <w:pPr>
        <w:spacing w:after="80"/>
        <w:ind w:left="340" w:hanging="340"/>
        <w:jc w:val="both"/>
      </w:pPr>
      <w:proofErr w:type="spellStart"/>
      <w:r>
        <w:rPr>
          <w:sz w:val="16"/>
          <w:szCs w:val="16"/>
        </w:rPr>
        <w:t>Treffers</w:t>
      </w:r>
      <w:proofErr w:type="spellEnd"/>
      <w:r>
        <w:rPr>
          <w:sz w:val="16"/>
          <w:szCs w:val="16"/>
        </w:rPr>
        <w:t>-Daller, J., Majid, S., Thai, Y. N., and Flynn, N. (2022). Explaining the diversity in Malay-English code-switching patterns: The contribution of typological similarity and bilingual optimization strategies. Languages, 7(4), 299. https://doi.org/10.3390/languages7040299</w:t>
      </w:r>
    </w:p>
    <w:p w14:paraId="58C8F808" w14:textId="77777777" w:rsidR="00643023" w:rsidRPr="009C6090" w:rsidRDefault="00643023" w:rsidP="00643023">
      <w:pPr>
        <w:spacing w:after="80"/>
        <w:ind w:left="340" w:hanging="340"/>
        <w:jc w:val="both"/>
      </w:pPr>
      <w:r>
        <w:rPr>
          <w:sz w:val="16"/>
          <w:szCs w:val="16"/>
        </w:rPr>
        <w:t xml:space="preserve">Uma, A. N., Fornaciari, T., Hovy, D., Paun, S., Plank, B., and </w:t>
      </w:r>
      <w:proofErr w:type="spellStart"/>
      <w:r>
        <w:rPr>
          <w:sz w:val="16"/>
          <w:szCs w:val="16"/>
        </w:rPr>
        <w:t>Poesio</w:t>
      </w:r>
      <w:proofErr w:type="spellEnd"/>
      <w:r>
        <w:rPr>
          <w:sz w:val="16"/>
          <w:szCs w:val="16"/>
        </w:rPr>
        <w:t>, M. (2021). Learning from disagreement: A survey. Journal of Artificial Intelligence Research, 72, 1385–1470. https://doi.org/10.1613/jair.1.12752</w:t>
      </w:r>
    </w:p>
    <w:p w14:paraId="30E0354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2469C87B" w14:textId="77777777" w:rsidR="00CB1F44" w:rsidRPr="009D7411" w:rsidRDefault="00643023" w:rsidP="009D7411">
      <w:pPr>
        <w:spacing w:after="80"/>
        <w:ind w:left="340" w:hanging="340"/>
        <w:jc w:val="both"/>
      </w:pPr>
      <w:r>
        <w:rPr>
          <w:sz w:val="16"/>
          <w:szCs w:val="16"/>
        </w:rPr>
        <w:t xml:space="preserve">Winata, G. I., </w:t>
      </w:r>
      <w:proofErr w:type="spellStart"/>
      <w:r>
        <w:rPr>
          <w:sz w:val="16"/>
          <w:szCs w:val="16"/>
        </w:rPr>
        <w:t>Cahyawijaya</w:t>
      </w:r>
      <w:proofErr w:type="spellEnd"/>
      <w:r>
        <w:rPr>
          <w:sz w:val="16"/>
          <w:szCs w:val="16"/>
        </w:rPr>
        <w:t xml:space="preserve">, S., Liu, Z., Lin, Z., </w:t>
      </w:r>
      <w:proofErr w:type="spellStart"/>
      <w:r>
        <w:rPr>
          <w:sz w:val="16"/>
          <w:szCs w:val="16"/>
        </w:rPr>
        <w:t>Madotto</w:t>
      </w:r>
      <w:proofErr w:type="spellEnd"/>
      <w:r>
        <w:rPr>
          <w:sz w:val="16"/>
          <w:szCs w:val="16"/>
        </w:rPr>
        <w:t>,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F55D3" w14:textId="77777777" w:rsidR="00D978A6" w:rsidRPr="006546A0" w:rsidRDefault="00D978A6">
      <w:r w:rsidRPr="006546A0">
        <w:separator/>
      </w:r>
    </w:p>
  </w:endnote>
  <w:endnote w:type="continuationSeparator" w:id="0">
    <w:p w14:paraId="06B016EF" w14:textId="77777777" w:rsidR="00D978A6" w:rsidRPr="006546A0" w:rsidRDefault="00D978A6">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A8FC"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5A56"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269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59BA4E63"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58BD6AF"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0B7CD84"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565427E7"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7633" w14:textId="77777777" w:rsidR="00D978A6" w:rsidRPr="006546A0" w:rsidRDefault="00D978A6">
      <w:r w:rsidRPr="006546A0">
        <w:separator/>
      </w:r>
    </w:p>
  </w:footnote>
  <w:footnote w:type="continuationSeparator" w:id="0">
    <w:p w14:paraId="5B7FC1B7" w14:textId="77777777" w:rsidR="00D978A6" w:rsidRPr="006546A0" w:rsidRDefault="00D978A6">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D314"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2448486F"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040F9D93"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61CD350"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AB0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3A060D6" w14:textId="77777777" w:rsidR="00EE11D5" w:rsidRPr="006546A0" w:rsidRDefault="00EE11D5">
    <w:pPr>
      <w:pBdr>
        <w:top w:val="nil"/>
        <w:left w:val="nil"/>
        <w:bottom w:val="nil"/>
        <w:right w:val="nil"/>
        <w:between w:val="nil"/>
      </w:pBdr>
      <w:tabs>
        <w:tab w:val="center" w:pos="4252"/>
        <w:tab w:val="right" w:pos="8504"/>
      </w:tabs>
      <w:rPr>
        <w:color w:val="000000"/>
      </w:rPr>
    </w:pPr>
  </w:p>
  <w:p w14:paraId="6AAFEE45"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A788"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4673CA12"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631C012F"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C3BC5"/>
    <w:rsid w:val="000C540E"/>
    <w:rsid w:val="00113035"/>
    <w:rsid w:val="00123B06"/>
    <w:rsid w:val="001A31B8"/>
    <w:rsid w:val="001B76A7"/>
    <w:rsid w:val="001C3158"/>
    <w:rsid w:val="001D6639"/>
    <w:rsid w:val="001F1776"/>
    <w:rsid w:val="001F5F4D"/>
    <w:rsid w:val="00247B5D"/>
    <w:rsid w:val="0028087E"/>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C2993"/>
    <w:rsid w:val="006D0BD0"/>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3BBB"/>
    <w:rsid w:val="009C19F4"/>
    <w:rsid w:val="009C6090"/>
    <w:rsid w:val="009D7411"/>
    <w:rsid w:val="009F7D9C"/>
    <w:rsid w:val="00A13DB4"/>
    <w:rsid w:val="00A623CE"/>
    <w:rsid w:val="00A76001"/>
    <w:rsid w:val="00A85005"/>
    <w:rsid w:val="00AA566D"/>
    <w:rsid w:val="00AC2D40"/>
    <w:rsid w:val="00B14C4D"/>
    <w:rsid w:val="00B2442A"/>
    <w:rsid w:val="00B30939"/>
    <w:rsid w:val="00BB7406"/>
    <w:rsid w:val="00BC422E"/>
    <w:rsid w:val="00BD1B9B"/>
    <w:rsid w:val="00C02274"/>
    <w:rsid w:val="00C127AD"/>
    <w:rsid w:val="00C632CC"/>
    <w:rsid w:val="00C67F7D"/>
    <w:rsid w:val="00CA6BDB"/>
    <w:rsid w:val="00CB1F44"/>
    <w:rsid w:val="00CC05FA"/>
    <w:rsid w:val="00CE6FEC"/>
    <w:rsid w:val="00D173B2"/>
    <w:rsid w:val="00D20E38"/>
    <w:rsid w:val="00D714BA"/>
    <w:rsid w:val="00D978A6"/>
    <w:rsid w:val="00DC3302"/>
    <w:rsid w:val="00DE32D1"/>
    <w:rsid w:val="00E10A8D"/>
    <w:rsid w:val="00E3160C"/>
    <w:rsid w:val="00E57D3D"/>
    <w:rsid w:val="00E623B3"/>
    <w:rsid w:val="00E76F61"/>
    <w:rsid w:val="00EC3247"/>
    <w:rsid w:val="00ED635A"/>
    <w:rsid w:val="00ED77BD"/>
    <w:rsid w:val="00EE11D5"/>
    <w:rsid w:val="00EE1483"/>
    <w:rsid w:val="00F304DE"/>
    <w:rsid w:val="00F379CB"/>
    <w:rsid w:val="00F7557B"/>
    <w:rsid w:val="00FB5522"/>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7526"/>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302"/>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21</Pages>
  <Words>10559</Words>
  <Characters>60191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81</cp:revision>
  <cp:lastPrinted>2026-09-08T04:21:00Z</cp:lastPrinted>
  <dcterms:created xsi:type="dcterms:W3CDTF">2026-07-02T08:05:00Z</dcterms:created>
  <dcterms:modified xsi:type="dcterms:W3CDTF">2026-09-08T04:22:00Z</dcterms:modified>
</cp:coreProperties>
</file>