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color w:val="1A1A1A"/>
          <w:sz w:val="30"/>
          <w:szCs w:val="30"/>
        </w:rPr>
        <w:t xml:space="preserve">Review paper - page distribution</w:t>
      </w:r>
    </w:p>
    <w:p>
      <w:pPr>
        <w:spacing w:after="240"/>
      </w:pPr>
      <w:r>
        <w:rPr>
          <w:rFonts w:ascii="Calibri" w:cs="Calibri" w:eastAsia="Calibri" w:hAnsi="Calibri"/>
          <w:b w:val="false"/>
          <w:bCs w:val="false"/>
          <w:i w:val="false"/>
          <w:iCs w:val="false"/>
          <w:color w:val="7F7F7F"/>
          <w:sz w:val="18"/>
          <w:szCs w:val="18"/>
        </w:rPr>
        <w:t xml:space="preserve">Ng Yong Vay  |  ICON AI 2026  |  updated 13 August 2026</w:t>
      </w:r>
    </w:p>
    <w:p>
      <w:pPr>
        <w:spacing w:after="100"/>
      </w:pPr>
      <w:r>
        <w:rPr>
          <w:rFonts w:ascii="Calibri" w:cs="Calibri" w:eastAsia="Calibri" w:hAnsi="Calibri"/>
          <w:b/>
          <w:bCs/>
          <w:i w:val="false"/>
          <w:iCs w:val="false"/>
          <w:color w:val="1A1A1A"/>
          <w:sz w:val="22"/>
          <w:szCs w:val="22"/>
        </w:rPr>
        <w:t xml:space="preserve">What changed since the version you saw</w:t>
      </w:r>
    </w:p>
    <w:p>
      <w:pPr>
        <w:spacing w:after="80"/>
      </w:pPr>
      <w:r>
        <w:rPr>
          <w:rFonts w:ascii="Calibri" w:cs="Calibri" w:eastAsia="Calibri" w:hAnsi="Calibri"/>
          <w:b w:val="false"/>
          <w:bCs w:val="false"/>
          <w:i w:val="false"/>
          <w:iCs w:val="false"/>
          <w:color w:val="1A1A1A"/>
          <w:sz w:val="20"/>
          <w:szCs w:val="20"/>
        </w:rPr>
        <w:t xml:space="preserve">1.  The page limit is 20, not 15. Confirmed from the call for papers, which allows 20 pages for review papers with references included. The 15-page line inside the template file is stale text carried over from a SERSC/OIJI journal template.</w:t>
      </w:r>
    </w:p>
    <w:p>
      <w:pPr>
        <w:spacing w:after="80"/>
      </w:pPr>
      <w:r>
        <w:rPr>
          <w:rFonts w:ascii="Calibri" w:cs="Calibri" w:eastAsia="Calibri" w:hAnsi="Calibri"/>
          <w:b w:val="false"/>
          <w:bCs w:val="false"/>
          <w:i w:val="false"/>
          <w:iCs w:val="false"/>
          <w:color w:val="1A1A1A"/>
          <w:sz w:val="20"/>
          <w:szCs w:val="20"/>
        </w:rPr>
        <w:t xml:space="preserve">2.  References must be set in 8pt. The template's references section specifies 8-point Times New Roman, single spacing. That fits 26 entries per page, so your target of 50-plus references costs only about two pages.</w:t>
      </w:r>
    </w:p>
    <w:p>
      <w:pPr>
        <w:spacing w:after="220"/>
      </w:pPr>
      <w:r>
        <w:rPr>
          <w:rFonts w:ascii="Calibri" w:cs="Calibri" w:eastAsia="Calibri" w:hAnsi="Calibri"/>
          <w:b w:val="false"/>
          <w:bCs w:val="false"/>
          <w:i w:val="false"/>
          <w:iCs w:val="false"/>
          <w:color w:val="1A1A1A"/>
          <w:sz w:val="20"/>
          <w:szCs w:val="20"/>
        </w:rPr>
        <w:t xml:space="preserve">3.  The distribution below has been verified by rendering a mock document in the ICON AI template at these word counts, with four tables and one figure. It comes to 19 pages.</w:t>
      </w:r>
    </w:p>
    <w:tbl>
      <w:tblPr>
        <w:tblW w:type="dxa" w:w="9000"/>
        <w:tblBorders>
          <w:top w:val="none" w:color="FFFFFF" w:sz="0"/>
          <w:left w:val="none" w:color="FFFFFF" w:sz="0"/>
          <w:bottom w:val="none" w:color="FFFFFF" w:sz="0"/>
          <w:right w:val="none" w:color="FFFFFF" w:sz="0"/>
          <w:insideH w:val="single" w:color="D9D9D9" w:sz="4"/>
          <w:insideV w:val="none" w:color="FFFFFF" w:sz="0"/>
        </w:tblBorders>
      </w:tblPr>
      <w:tblGrid>
        <w:gridCol w:w="3300"/>
        <w:gridCol w:w="1100"/>
        <w:gridCol w:w="1150"/>
        <w:gridCol w:w="3450"/>
      </w:tblGrid>
      <w:tr>
        <w:trPr>
          <w:tblHeader/>
        </w:trPr>
        <w:tc>
          <w:tcPr>
            <w:tcW w:type="dxa" w:w="3300"/>
            <w:tcBorders>
              <w:top w:val="none" w:color="FFFFFF" w:sz="0"/>
              <w:left w:val="none" w:color="FFFFFF" w:sz="0"/>
              <w:bottom w:val="single" w:color="808080" w:sz="8"/>
              <w:right w:val="none" w:color="FFFFFF" w:sz="0"/>
            </w:tcBorders>
            <w:shd w:fill="F2F2F2" w:color="auto" w:val="clear"/>
            <w:tcMar>
              <w:top w:type="dxa" w:w="70"/>
              <w:left w:type="dxa" w:w="100"/>
              <w:bottom w:type="dxa" w:w="70"/>
              <w:right w:type="dxa" w:w="100"/>
            </w:tcMar>
          </w:tcPr>
          <w:p>
            <w:pPr>
              <w:spacing w:after="0"/>
              <w:jc w:val="left"/>
            </w:pPr>
            <w:r>
              <w:rPr>
                <w:rFonts w:ascii="Calibri" w:cs="Calibri" w:eastAsia="Calibri" w:hAnsi="Calibri"/>
                <w:b/>
                <w:bCs/>
                <w:i w:val="false"/>
                <w:iCs w:val="false"/>
                <w:color w:val="1A1A1A"/>
                <w:sz w:val="19"/>
                <w:szCs w:val="19"/>
              </w:rPr>
              <w:t xml:space="preserve">Section</w:t>
            </w:r>
          </w:p>
        </w:tc>
        <w:tc>
          <w:tcPr>
            <w:tcW w:type="dxa" w:w="1100"/>
            <w:tcBorders>
              <w:top w:val="none" w:color="FFFFFF" w:sz="0"/>
              <w:left w:val="none" w:color="FFFFFF" w:sz="0"/>
              <w:bottom w:val="single" w:color="808080" w:sz="8"/>
              <w:right w:val="none" w:color="FFFFFF" w:sz="0"/>
            </w:tcBorders>
            <w:shd w:fill="F2F2F2" w:color="auto" w:val="clear"/>
            <w:tcMar>
              <w:top w:type="dxa" w:w="70"/>
              <w:left w:type="dxa" w:w="100"/>
              <w:bottom w:type="dxa" w:w="70"/>
              <w:right w:type="dxa" w:w="100"/>
            </w:tcMar>
          </w:tcPr>
          <w:p>
            <w:pPr>
              <w:spacing w:after="0"/>
              <w:jc w:val="center"/>
            </w:pPr>
            <w:r>
              <w:rPr>
                <w:rFonts w:ascii="Calibri" w:cs="Calibri" w:eastAsia="Calibri" w:hAnsi="Calibri"/>
                <w:b/>
                <w:bCs/>
                <w:i w:val="false"/>
                <w:iCs w:val="false"/>
                <w:color w:val="1A1A1A"/>
                <w:sz w:val="19"/>
                <w:szCs w:val="19"/>
              </w:rPr>
              <w:t xml:space="preserve">Dr. Ho</w:t>
            </w:r>
          </w:p>
        </w:tc>
        <w:tc>
          <w:tcPr>
            <w:tcW w:type="dxa" w:w="1150"/>
            <w:tcBorders>
              <w:top w:val="none" w:color="FFFFFF" w:sz="0"/>
              <w:left w:val="none" w:color="FFFFFF" w:sz="0"/>
              <w:bottom w:val="single" w:color="808080" w:sz="8"/>
              <w:right w:val="none" w:color="FFFFFF" w:sz="0"/>
            </w:tcBorders>
            <w:shd w:fill="F2F2F2" w:color="auto" w:val="clear"/>
            <w:tcMar>
              <w:top w:type="dxa" w:w="70"/>
              <w:left w:type="dxa" w:w="100"/>
              <w:bottom w:type="dxa" w:w="70"/>
              <w:right w:type="dxa" w:w="100"/>
            </w:tcMar>
          </w:tcPr>
          <w:p>
            <w:pPr>
              <w:spacing w:after="0"/>
              <w:jc w:val="center"/>
            </w:pPr>
            <w:r>
              <w:rPr>
                <w:rFonts w:ascii="Calibri" w:cs="Calibri" w:eastAsia="Calibri" w:hAnsi="Calibri"/>
                <w:b/>
                <w:bCs/>
                <w:i w:val="false"/>
                <w:iCs w:val="false"/>
                <w:color w:val="1A1A1A"/>
                <w:sz w:val="19"/>
                <w:szCs w:val="19"/>
              </w:rPr>
              <w:t xml:space="preserve">Revised</w:t>
            </w:r>
          </w:p>
        </w:tc>
        <w:tc>
          <w:tcPr>
            <w:tcW w:type="dxa" w:w="3450"/>
            <w:tcBorders>
              <w:top w:val="none" w:color="FFFFFF" w:sz="0"/>
              <w:left w:val="none" w:color="FFFFFF" w:sz="0"/>
              <w:bottom w:val="single" w:color="808080" w:sz="8"/>
              <w:right w:val="none" w:color="FFFFFF" w:sz="0"/>
            </w:tcBorders>
            <w:shd w:fill="F2F2F2" w:color="auto" w:val="clear"/>
            <w:tcMar>
              <w:top w:type="dxa" w:w="70"/>
              <w:left w:type="dxa" w:w="100"/>
              <w:bottom w:type="dxa" w:w="70"/>
              <w:right w:type="dxa" w:w="100"/>
            </w:tcMar>
          </w:tcPr>
          <w:p>
            <w:pPr>
              <w:spacing w:after="0"/>
              <w:jc w:val="left"/>
            </w:pPr>
            <w:r>
              <w:rPr>
                <w:rFonts w:ascii="Calibri" w:cs="Calibri" w:eastAsia="Calibri" w:hAnsi="Calibri"/>
                <w:b/>
                <w:bCs/>
                <w:i w:val="false"/>
                <w:iCs w:val="false"/>
                <w:color w:val="1A1A1A"/>
                <w:sz w:val="19"/>
                <w:szCs w:val="19"/>
              </w:rPr>
              <w:t xml:space="preserve">Reason for the change</w:t>
            </w:r>
          </w:p>
        </w:tc>
      </w:tr>
      <w:tr>
        <w:tc>
          <w:tcPr>
            <w:tcW w:type="dxa" w:w="33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1A1A1A"/>
                <w:sz w:val="19"/>
                <w:szCs w:val="19"/>
              </w:rPr>
              <w:t xml:space="preserve">Title</w:t>
            </w:r>
          </w:p>
        </w:tc>
        <w:tc>
          <w:tcPr>
            <w:tcW w:type="dxa" w:w="11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center"/>
            </w:pPr>
            <w:r>
              <w:rPr>
                <w:rFonts w:ascii="Calibri" w:cs="Calibri" w:eastAsia="Calibri" w:hAnsi="Calibri"/>
                <w:b w:val="false"/>
                <w:bCs w:val="false"/>
                <w:i w:val="false"/>
                <w:iCs w:val="false"/>
                <w:color w:val="808080"/>
                <w:sz w:val="19"/>
                <w:szCs w:val="19"/>
              </w:rPr>
              <w:t xml:space="preserve">0.5</w:t>
            </w:r>
          </w:p>
        </w:tc>
        <w:tc>
          <w:tcPr>
            <w:tcW w:type="dxa" w:w="115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center"/>
            </w:pPr>
            <w:r>
              <w:rPr>
                <w:rFonts w:ascii="Calibri" w:cs="Calibri" w:eastAsia="Calibri" w:hAnsi="Calibri"/>
                <w:b w:val="false"/>
                <w:bCs w:val="false"/>
                <w:i w:val="false"/>
                <w:iCs w:val="false"/>
                <w:color w:val="1A1A1A"/>
                <w:sz w:val="19"/>
                <w:szCs w:val="19"/>
              </w:rPr>
              <w:t xml:space="preserve">0.5</w:t>
            </w:r>
          </w:p>
        </w:tc>
        <w:tc>
          <w:tcPr>
            <w:tcW w:type="dxa" w:w="345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595959"/>
                <w:sz w:val="17"/>
                <w:szCs w:val="17"/>
              </w:rPr>
              <w:t xml:space="preserve"/>
            </w:r>
          </w:p>
        </w:tc>
      </w:tr>
      <w:tr>
        <w:tc>
          <w:tcPr>
            <w:tcW w:type="dxa" w:w="33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1A1A1A"/>
                <w:sz w:val="19"/>
                <w:szCs w:val="19"/>
              </w:rPr>
              <w:t xml:space="preserve">Abstract</w:t>
            </w:r>
          </w:p>
        </w:tc>
        <w:tc>
          <w:tcPr>
            <w:tcW w:type="dxa" w:w="11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center"/>
            </w:pPr>
            <w:r>
              <w:rPr>
                <w:rFonts w:ascii="Calibri" w:cs="Calibri" w:eastAsia="Calibri" w:hAnsi="Calibri"/>
                <w:b w:val="false"/>
                <w:bCs w:val="false"/>
                <w:i w:val="false"/>
                <w:iCs w:val="false"/>
                <w:color w:val="808080"/>
                <w:sz w:val="19"/>
                <w:szCs w:val="19"/>
              </w:rPr>
              <w:t xml:space="preserve">0.5</w:t>
            </w:r>
          </w:p>
        </w:tc>
        <w:tc>
          <w:tcPr>
            <w:tcW w:type="dxa" w:w="115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center"/>
            </w:pPr>
            <w:r>
              <w:rPr>
                <w:rFonts w:ascii="Calibri" w:cs="Calibri" w:eastAsia="Calibri" w:hAnsi="Calibri"/>
                <w:b w:val="false"/>
                <w:bCs w:val="false"/>
                <w:i w:val="false"/>
                <w:iCs w:val="false"/>
                <w:color w:val="1A1A1A"/>
                <w:sz w:val="19"/>
                <w:szCs w:val="19"/>
              </w:rPr>
              <w:t xml:space="preserve">0.5</w:t>
            </w:r>
          </w:p>
        </w:tc>
        <w:tc>
          <w:tcPr>
            <w:tcW w:type="dxa" w:w="345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595959"/>
                <w:sz w:val="17"/>
                <w:szCs w:val="17"/>
              </w:rPr>
              <w:t xml:space="preserve"/>
            </w:r>
          </w:p>
        </w:tc>
      </w:tr>
      <w:tr>
        <w:tc>
          <w:tcPr>
            <w:tcW w:type="dxa" w:w="33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1A1A1A"/>
                <w:sz w:val="19"/>
                <w:szCs w:val="19"/>
              </w:rPr>
              <w:t xml:space="preserve">Introduction</w:t>
            </w:r>
          </w:p>
        </w:tc>
        <w:tc>
          <w:tcPr>
            <w:tcW w:type="dxa" w:w="11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center"/>
            </w:pPr>
            <w:r>
              <w:rPr>
                <w:rFonts w:ascii="Calibri" w:cs="Calibri" w:eastAsia="Calibri" w:hAnsi="Calibri"/>
                <w:b w:val="false"/>
                <w:bCs w:val="false"/>
                <w:i w:val="false"/>
                <w:iCs w:val="false"/>
                <w:color w:val="808080"/>
                <w:sz w:val="19"/>
                <w:szCs w:val="19"/>
              </w:rPr>
              <w:t xml:space="preserve">1.0</w:t>
            </w:r>
          </w:p>
        </w:tc>
        <w:tc>
          <w:tcPr>
            <w:tcW w:type="dxa" w:w="1150"/>
            <w:tcBorders>
              <w:top w:val="none" w:color="FFFFFF" w:sz="0"/>
              <w:left w:val="none" w:color="FFFFFF" w:sz="0"/>
              <w:bottom w:val="single" w:color="D9D9D9" w:sz="4"/>
              <w:right w:val="none" w:color="FFFFFF" w:sz="0"/>
            </w:tcBorders>
            <w:shd w:fill="FDF3E3" w:color="auto" w:val="clear"/>
            <w:tcMar>
              <w:top w:type="dxa" w:w="70"/>
              <w:left w:type="dxa" w:w="100"/>
              <w:bottom w:type="dxa" w:w="70"/>
              <w:right w:type="dxa" w:w="100"/>
            </w:tcMar>
          </w:tcPr>
          <w:p>
            <w:pPr>
              <w:spacing w:after="0"/>
              <w:jc w:val="center"/>
            </w:pPr>
            <w:r>
              <w:rPr>
                <w:rFonts w:ascii="Calibri" w:cs="Calibri" w:eastAsia="Calibri" w:hAnsi="Calibri"/>
                <w:b/>
                <w:bCs/>
                <w:i w:val="false"/>
                <w:iCs w:val="false"/>
                <w:color w:val="1A1A1A"/>
                <w:sz w:val="19"/>
                <w:szCs w:val="19"/>
              </w:rPr>
              <w:t xml:space="preserve">1.75</w:t>
            </w:r>
          </w:p>
        </w:tc>
        <w:tc>
          <w:tcPr>
            <w:tcW w:type="dxa" w:w="345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595959"/>
                <w:sz w:val="17"/>
                <w:szCs w:val="17"/>
              </w:rPr>
              <w:t xml:space="preserve">Adds a documented review methodology subsection - search strategy, databases, inclusion criteria - with a supporting table</w:t>
            </w:r>
          </w:p>
        </w:tc>
      </w:tr>
      <w:tr>
        <w:tc>
          <w:tcPr>
            <w:tcW w:type="dxa" w:w="33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1A1A1A"/>
                <w:sz w:val="19"/>
                <w:szCs w:val="19"/>
              </w:rPr>
              <w:t xml:space="preserve">Malaysian Code-Mixed Language Characteristics</w:t>
            </w:r>
          </w:p>
        </w:tc>
        <w:tc>
          <w:tcPr>
            <w:tcW w:type="dxa" w:w="11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center"/>
            </w:pPr>
            <w:r>
              <w:rPr>
                <w:rFonts w:ascii="Calibri" w:cs="Calibri" w:eastAsia="Calibri" w:hAnsi="Calibri"/>
                <w:b w:val="false"/>
                <w:bCs w:val="false"/>
                <w:i w:val="false"/>
                <w:iCs w:val="false"/>
                <w:color w:val="808080"/>
                <w:sz w:val="19"/>
                <w:szCs w:val="19"/>
              </w:rPr>
              <w:t xml:space="preserve">1.5</w:t>
            </w:r>
          </w:p>
        </w:tc>
        <w:tc>
          <w:tcPr>
            <w:tcW w:type="dxa" w:w="115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center"/>
            </w:pPr>
            <w:r>
              <w:rPr>
                <w:rFonts w:ascii="Calibri" w:cs="Calibri" w:eastAsia="Calibri" w:hAnsi="Calibri"/>
                <w:b w:val="false"/>
                <w:bCs w:val="false"/>
                <w:i w:val="false"/>
                <w:iCs w:val="false"/>
                <w:color w:val="1A1A1A"/>
                <w:sz w:val="19"/>
                <w:szCs w:val="19"/>
              </w:rPr>
              <w:t xml:space="preserve">1.5</w:t>
            </w:r>
          </w:p>
        </w:tc>
        <w:tc>
          <w:tcPr>
            <w:tcW w:type="dxa" w:w="345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595959"/>
                <w:sz w:val="17"/>
                <w:szCs w:val="17"/>
              </w:rPr>
              <w:t xml:space="preserve">Unchanged from your plan</w:t>
            </w:r>
          </w:p>
        </w:tc>
      </w:tr>
      <w:tr>
        <w:tc>
          <w:tcPr>
            <w:tcW w:type="dxa" w:w="33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1A1A1A"/>
                <w:sz w:val="19"/>
                <w:szCs w:val="19"/>
              </w:rPr>
              <w:t xml:space="preserve">Corpus Construction and Annotation</w:t>
            </w:r>
          </w:p>
        </w:tc>
        <w:tc>
          <w:tcPr>
            <w:tcW w:type="dxa" w:w="11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center"/>
            </w:pPr>
            <w:r>
              <w:rPr>
                <w:rFonts w:ascii="Calibri" w:cs="Calibri" w:eastAsia="Calibri" w:hAnsi="Calibri"/>
                <w:b w:val="false"/>
                <w:bCs w:val="false"/>
                <w:i w:val="false"/>
                <w:iCs w:val="false"/>
                <w:color w:val="808080"/>
                <w:sz w:val="19"/>
                <w:szCs w:val="19"/>
              </w:rPr>
              <w:t xml:space="preserve">1.5</w:t>
            </w:r>
          </w:p>
        </w:tc>
        <w:tc>
          <w:tcPr>
            <w:tcW w:type="dxa" w:w="1150"/>
            <w:tcBorders>
              <w:top w:val="none" w:color="FFFFFF" w:sz="0"/>
              <w:left w:val="none" w:color="FFFFFF" w:sz="0"/>
              <w:bottom w:val="single" w:color="D9D9D9" w:sz="4"/>
              <w:right w:val="none" w:color="FFFFFF" w:sz="0"/>
            </w:tcBorders>
            <w:shd w:fill="FDF3E3" w:color="auto" w:val="clear"/>
            <w:tcMar>
              <w:top w:type="dxa" w:w="70"/>
              <w:left w:type="dxa" w:w="100"/>
              <w:bottom w:type="dxa" w:w="70"/>
              <w:right w:type="dxa" w:w="100"/>
            </w:tcMar>
          </w:tcPr>
          <w:p>
            <w:pPr>
              <w:spacing w:after="0"/>
              <w:jc w:val="center"/>
            </w:pPr>
            <w:r>
              <w:rPr>
                <w:rFonts w:ascii="Calibri" w:cs="Calibri" w:eastAsia="Calibri" w:hAnsi="Calibri"/>
                <w:b/>
                <w:bCs/>
                <w:i w:val="false"/>
                <w:iCs w:val="false"/>
                <w:color w:val="1A1A1A"/>
                <w:sz w:val="19"/>
                <w:szCs w:val="19"/>
              </w:rPr>
              <w:t xml:space="preserve">5.5</w:t>
            </w:r>
          </w:p>
        </w:tc>
        <w:tc>
          <w:tcPr>
            <w:tcW w:type="dxa" w:w="345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595959"/>
                <w:sz w:val="17"/>
                <w:szCs w:val="17"/>
              </w:rPr>
              <w:t xml:space="preserve">Becomes the core of the paper under the narrowed scope: annotation taxonomy, neutral-label skew, and the consensus critique</w:t>
            </w:r>
          </w:p>
        </w:tc>
      </w:tr>
      <w:tr>
        <w:tc>
          <w:tcPr>
            <w:tcW w:type="dxa" w:w="33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1A1A1A"/>
                <w:sz w:val="19"/>
                <w:szCs w:val="19"/>
              </w:rPr>
              <w:t xml:space="preserve">Evolution of Sentiment Analysis Models</w:t>
            </w:r>
          </w:p>
        </w:tc>
        <w:tc>
          <w:tcPr>
            <w:tcW w:type="dxa" w:w="11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center"/>
            </w:pPr>
            <w:r>
              <w:rPr>
                <w:rFonts w:ascii="Calibri" w:cs="Calibri" w:eastAsia="Calibri" w:hAnsi="Calibri"/>
                <w:b w:val="false"/>
                <w:bCs w:val="false"/>
                <w:i w:val="false"/>
                <w:iCs w:val="false"/>
                <w:color w:val="808080"/>
                <w:sz w:val="19"/>
                <w:szCs w:val="19"/>
              </w:rPr>
              <w:t xml:space="preserve">1.5</w:t>
            </w:r>
          </w:p>
        </w:tc>
        <w:tc>
          <w:tcPr>
            <w:tcW w:type="dxa" w:w="1150"/>
            <w:tcBorders>
              <w:top w:val="none" w:color="FFFFFF" w:sz="0"/>
              <w:left w:val="none" w:color="FFFFFF" w:sz="0"/>
              <w:bottom w:val="single" w:color="D9D9D9" w:sz="4"/>
              <w:right w:val="none" w:color="FFFFFF" w:sz="0"/>
            </w:tcBorders>
            <w:shd w:fill="FDF3E3" w:color="auto" w:val="clear"/>
            <w:tcMar>
              <w:top w:type="dxa" w:w="70"/>
              <w:left w:type="dxa" w:w="100"/>
              <w:bottom w:type="dxa" w:w="70"/>
              <w:right w:type="dxa" w:w="100"/>
            </w:tcMar>
          </w:tcPr>
          <w:p>
            <w:pPr>
              <w:spacing w:after="0"/>
              <w:jc w:val="center"/>
            </w:pPr>
            <w:r>
              <w:rPr>
                <w:rFonts w:ascii="Calibri" w:cs="Calibri" w:eastAsia="Calibri" w:hAnsi="Calibri"/>
                <w:b/>
                <w:bCs/>
                <w:i w:val="false"/>
                <w:iCs w:val="false"/>
                <w:color w:val="1A1A1A"/>
                <w:sz w:val="19"/>
                <w:szCs w:val="19"/>
              </w:rPr>
              <w:t xml:space="preserve">1.25</w:t>
            </w:r>
          </w:p>
        </w:tc>
        <w:tc>
          <w:tcPr>
            <w:tcW w:type="dxa" w:w="345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595959"/>
                <w:sz w:val="17"/>
                <w:szCs w:val="17"/>
              </w:rPr>
              <w:t xml:space="preserve">Reframed as context - what the candidate annotators can and cannot do. Classical ML baselines removed</w:t>
            </w:r>
          </w:p>
        </w:tc>
      </w:tr>
      <w:tr>
        <w:tc>
          <w:tcPr>
            <w:tcW w:type="dxa" w:w="33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1A1A1A"/>
                <w:sz w:val="19"/>
                <w:szCs w:val="19"/>
              </w:rPr>
              <w:t xml:space="preserve">Evaluation Practices</w:t>
            </w:r>
          </w:p>
        </w:tc>
        <w:tc>
          <w:tcPr>
            <w:tcW w:type="dxa" w:w="11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center"/>
            </w:pPr>
            <w:r>
              <w:rPr>
                <w:rFonts w:ascii="Calibri" w:cs="Calibri" w:eastAsia="Calibri" w:hAnsi="Calibri"/>
                <w:b w:val="false"/>
                <w:bCs w:val="false"/>
                <w:i w:val="false"/>
                <w:iCs w:val="false"/>
                <w:color w:val="808080"/>
                <w:sz w:val="19"/>
                <w:szCs w:val="19"/>
              </w:rPr>
              <w:t xml:space="preserve">1.5</w:t>
            </w:r>
          </w:p>
        </w:tc>
        <w:tc>
          <w:tcPr>
            <w:tcW w:type="dxa" w:w="1150"/>
            <w:tcBorders>
              <w:top w:val="none" w:color="FFFFFF" w:sz="0"/>
              <w:left w:val="none" w:color="FFFFFF" w:sz="0"/>
              <w:bottom w:val="single" w:color="D9D9D9" w:sz="4"/>
              <w:right w:val="none" w:color="FFFFFF" w:sz="0"/>
            </w:tcBorders>
            <w:shd w:fill="FDF3E3" w:color="auto" w:val="clear"/>
            <w:tcMar>
              <w:top w:type="dxa" w:w="70"/>
              <w:left w:type="dxa" w:w="100"/>
              <w:bottom w:type="dxa" w:w="70"/>
              <w:right w:type="dxa" w:w="100"/>
            </w:tcMar>
          </w:tcPr>
          <w:p>
            <w:pPr>
              <w:spacing w:after="0"/>
              <w:jc w:val="center"/>
            </w:pPr>
            <w:r>
              <w:rPr>
                <w:rFonts w:ascii="Calibri" w:cs="Calibri" w:eastAsia="Calibri" w:hAnsi="Calibri"/>
                <w:b/>
                <w:bCs/>
                <w:i w:val="false"/>
                <w:iCs w:val="false"/>
                <w:color w:val="1A1A1A"/>
                <w:sz w:val="19"/>
                <w:szCs w:val="19"/>
              </w:rPr>
              <w:t xml:space="preserve">1.25</w:t>
            </w:r>
          </w:p>
        </w:tc>
        <w:tc>
          <w:tcPr>
            <w:tcW w:type="dxa" w:w="345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595959"/>
                <w:sz w:val="17"/>
                <w:szCs w:val="17"/>
              </w:rPr>
              <w:t xml:space="preserve">RQ2 material removed. Retains annotation reliability (Kappa, prevalence paradox) and the corpus-scarcity evidence</w:t>
            </w:r>
          </w:p>
        </w:tc>
      </w:tr>
      <w:tr>
        <w:tc>
          <w:tcPr>
            <w:tcW w:type="dxa" w:w="33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1A1A1A"/>
                <w:sz w:val="19"/>
                <w:szCs w:val="19"/>
              </w:rPr>
              <w:t xml:space="preserve">Critical Discussion</w:t>
            </w:r>
          </w:p>
        </w:tc>
        <w:tc>
          <w:tcPr>
            <w:tcW w:type="dxa" w:w="11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center"/>
            </w:pPr>
            <w:r>
              <w:rPr>
                <w:rFonts w:ascii="Calibri" w:cs="Calibri" w:eastAsia="Calibri" w:hAnsi="Calibri"/>
                <w:b w:val="false"/>
                <w:bCs w:val="false"/>
                <w:i w:val="false"/>
                <w:iCs w:val="false"/>
                <w:color w:val="808080"/>
                <w:sz w:val="19"/>
                <w:szCs w:val="19"/>
              </w:rPr>
              <w:t xml:space="preserve">3.5</w:t>
            </w:r>
          </w:p>
        </w:tc>
        <w:tc>
          <w:tcPr>
            <w:tcW w:type="dxa" w:w="1150"/>
            <w:tcBorders>
              <w:top w:val="none" w:color="FFFFFF" w:sz="0"/>
              <w:left w:val="none" w:color="FFFFFF" w:sz="0"/>
              <w:bottom w:val="single" w:color="D9D9D9" w:sz="4"/>
              <w:right w:val="none" w:color="FFFFFF" w:sz="0"/>
            </w:tcBorders>
            <w:shd w:fill="FDF3E3" w:color="auto" w:val="clear"/>
            <w:tcMar>
              <w:top w:type="dxa" w:w="70"/>
              <w:left w:type="dxa" w:w="100"/>
              <w:bottom w:type="dxa" w:w="70"/>
              <w:right w:type="dxa" w:w="100"/>
            </w:tcMar>
          </w:tcPr>
          <w:p>
            <w:pPr>
              <w:spacing w:after="0"/>
              <w:jc w:val="center"/>
            </w:pPr>
            <w:r>
              <w:rPr>
                <w:rFonts w:ascii="Calibri" w:cs="Calibri" w:eastAsia="Calibri" w:hAnsi="Calibri"/>
                <w:b/>
                <w:bCs/>
                <w:i w:val="false"/>
                <w:iCs w:val="false"/>
                <w:color w:val="1A1A1A"/>
                <w:sz w:val="19"/>
                <w:szCs w:val="19"/>
              </w:rPr>
              <w:t xml:space="preserve">3.75</w:t>
            </w:r>
          </w:p>
        </w:tc>
        <w:tc>
          <w:tcPr>
            <w:tcW w:type="dxa" w:w="345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595959"/>
                <w:sz w:val="17"/>
                <w:szCs w:val="17"/>
              </w:rPr>
              <w:t xml:space="preserve">Now also carries the proposed framework and Figure 1</w:t>
            </w:r>
          </w:p>
        </w:tc>
      </w:tr>
      <w:tr>
        <w:tc>
          <w:tcPr>
            <w:tcW w:type="dxa" w:w="33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1A1A1A"/>
                <w:sz w:val="19"/>
                <w:szCs w:val="19"/>
              </w:rPr>
              <w:t xml:space="preserve">Conclusion</w:t>
            </w:r>
          </w:p>
        </w:tc>
        <w:tc>
          <w:tcPr>
            <w:tcW w:type="dxa" w:w="11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center"/>
            </w:pPr>
            <w:r>
              <w:rPr>
                <w:rFonts w:ascii="Calibri" w:cs="Calibri" w:eastAsia="Calibri" w:hAnsi="Calibri"/>
                <w:b w:val="false"/>
                <w:bCs w:val="false"/>
                <w:i w:val="false"/>
                <w:iCs w:val="false"/>
                <w:color w:val="808080"/>
                <w:sz w:val="19"/>
                <w:szCs w:val="19"/>
              </w:rPr>
              <w:t xml:space="preserve">1.0</w:t>
            </w:r>
          </w:p>
        </w:tc>
        <w:tc>
          <w:tcPr>
            <w:tcW w:type="dxa" w:w="1150"/>
            <w:tcBorders>
              <w:top w:val="none" w:color="FFFFFF" w:sz="0"/>
              <w:left w:val="none" w:color="FFFFFF" w:sz="0"/>
              <w:bottom w:val="single" w:color="D9D9D9" w:sz="4"/>
              <w:right w:val="none" w:color="FFFFFF" w:sz="0"/>
            </w:tcBorders>
            <w:shd w:fill="FDF3E3" w:color="auto" w:val="clear"/>
            <w:tcMar>
              <w:top w:type="dxa" w:w="70"/>
              <w:left w:type="dxa" w:w="100"/>
              <w:bottom w:type="dxa" w:w="70"/>
              <w:right w:type="dxa" w:w="100"/>
            </w:tcMar>
          </w:tcPr>
          <w:p>
            <w:pPr>
              <w:spacing w:after="0"/>
              <w:jc w:val="center"/>
            </w:pPr>
            <w:r>
              <w:rPr>
                <w:rFonts w:ascii="Calibri" w:cs="Calibri" w:eastAsia="Calibri" w:hAnsi="Calibri"/>
                <w:b/>
                <w:bCs/>
                <w:i w:val="false"/>
                <w:iCs w:val="false"/>
                <w:color w:val="1A1A1A"/>
                <w:sz w:val="19"/>
                <w:szCs w:val="19"/>
              </w:rPr>
              <w:t xml:space="preserve">0.75</w:t>
            </w:r>
          </w:p>
        </w:tc>
        <w:tc>
          <w:tcPr>
            <w:tcW w:type="dxa" w:w="345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595959"/>
                <w:sz w:val="17"/>
                <w:szCs w:val="17"/>
              </w:rPr>
              <w:t xml:space="preserve">Standard proportion for a review of this length</w:t>
            </w:r>
          </w:p>
        </w:tc>
      </w:tr>
      <w:tr>
        <w:tc>
          <w:tcPr>
            <w:tcW w:type="dxa" w:w="33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1A1A1A"/>
                <w:sz w:val="19"/>
                <w:szCs w:val="19"/>
              </w:rPr>
              <w:t xml:space="preserve">References</w:t>
            </w:r>
          </w:p>
        </w:tc>
        <w:tc>
          <w:tcPr>
            <w:tcW w:type="dxa" w:w="110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center"/>
            </w:pPr>
            <w:r>
              <w:rPr>
                <w:rFonts w:ascii="Calibri" w:cs="Calibri" w:eastAsia="Calibri" w:hAnsi="Calibri"/>
                <w:b w:val="false"/>
                <w:bCs w:val="false"/>
                <w:i w:val="false"/>
                <w:iCs w:val="false"/>
                <w:color w:val="808080"/>
                <w:sz w:val="19"/>
                <w:szCs w:val="19"/>
              </w:rPr>
              <w:t xml:space="preserve">1.5</w:t>
            </w:r>
          </w:p>
        </w:tc>
        <w:tc>
          <w:tcPr>
            <w:tcW w:type="dxa" w:w="1150"/>
            <w:tcBorders>
              <w:top w:val="none" w:color="FFFFFF" w:sz="0"/>
              <w:left w:val="none" w:color="FFFFFF" w:sz="0"/>
              <w:bottom w:val="single" w:color="D9D9D9" w:sz="4"/>
              <w:right w:val="none" w:color="FFFFFF" w:sz="0"/>
            </w:tcBorders>
            <w:shd w:fill="FDF3E3" w:color="auto" w:val="clear"/>
            <w:tcMar>
              <w:top w:type="dxa" w:w="70"/>
              <w:left w:type="dxa" w:w="100"/>
              <w:bottom w:type="dxa" w:w="70"/>
              <w:right w:type="dxa" w:w="100"/>
            </w:tcMar>
          </w:tcPr>
          <w:p>
            <w:pPr>
              <w:spacing w:after="0"/>
              <w:jc w:val="center"/>
            </w:pPr>
            <w:r>
              <w:rPr>
                <w:rFonts w:ascii="Calibri" w:cs="Calibri" w:eastAsia="Calibri" w:hAnsi="Calibri"/>
                <w:b/>
                <w:bCs/>
                <w:i w:val="false"/>
                <w:iCs w:val="false"/>
                <w:color w:val="1A1A1A"/>
                <w:sz w:val="19"/>
                <w:szCs w:val="19"/>
              </w:rPr>
              <w:t xml:space="preserve">2.5</w:t>
            </w:r>
          </w:p>
        </w:tc>
        <w:tc>
          <w:tcPr>
            <w:tcW w:type="dxa" w:w="3450"/>
            <w:tcBorders>
              <w:top w:val="none" w:color="FFFFFF" w:sz="0"/>
              <w:left w:val="none" w:color="FFFFFF" w:sz="0"/>
              <w:bottom w:val="single" w:color="D9D9D9" w:sz="4"/>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val="false"/>
                <w:iCs w:val="false"/>
                <w:color w:val="595959"/>
                <w:sz w:val="17"/>
                <w:szCs w:val="17"/>
              </w:rPr>
              <w:t xml:space="preserve">Template mandates 8pt for references - 26 entries per page. Supports your 50+ target with room to spare</w:t>
            </w:r>
          </w:p>
        </w:tc>
      </w:tr>
      <w:tr>
        <w:tc>
          <w:tcPr>
            <w:tcW w:type="dxa" w:w="3300"/>
            <w:tcBorders>
              <w:top w:val="single" w:color="808080" w:sz="8"/>
              <w:left w:val="none" w:color="FFFFFF" w:sz="0"/>
              <w:bottom w:val="none" w:color="FFFFFF" w:sz="0"/>
              <w:right w:val="none" w:color="FFFFFF" w:sz="0"/>
            </w:tcBorders>
            <w:tcMar>
              <w:top w:type="dxa" w:w="70"/>
              <w:left w:type="dxa" w:w="100"/>
              <w:bottom w:type="dxa" w:w="70"/>
              <w:right w:type="dxa" w:w="100"/>
            </w:tcMar>
          </w:tcPr>
          <w:p>
            <w:pPr>
              <w:spacing w:after="0"/>
              <w:jc w:val="left"/>
            </w:pPr>
            <w:r>
              <w:rPr>
                <w:rFonts w:ascii="Calibri" w:cs="Calibri" w:eastAsia="Calibri" w:hAnsi="Calibri"/>
                <w:b/>
                <w:bCs/>
                <w:i w:val="false"/>
                <w:iCs w:val="false"/>
                <w:color w:val="1A1A1A"/>
                <w:sz w:val="19"/>
                <w:szCs w:val="19"/>
              </w:rPr>
              <w:t xml:space="preserve">Total</w:t>
            </w:r>
          </w:p>
        </w:tc>
        <w:tc>
          <w:tcPr>
            <w:tcW w:type="dxa" w:w="1100"/>
            <w:tcBorders>
              <w:top w:val="single" w:color="808080" w:sz="8"/>
              <w:left w:val="none" w:color="FFFFFF" w:sz="0"/>
              <w:bottom w:val="none" w:color="FFFFFF" w:sz="0"/>
              <w:right w:val="none" w:color="FFFFFF" w:sz="0"/>
            </w:tcBorders>
            <w:tcMar>
              <w:top w:type="dxa" w:w="70"/>
              <w:left w:type="dxa" w:w="100"/>
              <w:bottom w:type="dxa" w:w="70"/>
              <w:right w:type="dxa" w:w="100"/>
            </w:tcMar>
          </w:tcPr>
          <w:p>
            <w:pPr>
              <w:spacing w:after="0"/>
              <w:jc w:val="center"/>
            </w:pPr>
            <w:r>
              <w:rPr>
                <w:rFonts w:ascii="Calibri" w:cs="Calibri" w:eastAsia="Calibri" w:hAnsi="Calibri"/>
                <w:b/>
                <w:bCs/>
                <w:i w:val="false"/>
                <w:iCs w:val="false"/>
                <w:color w:val="808080"/>
                <w:sz w:val="19"/>
                <w:szCs w:val="19"/>
              </w:rPr>
              <w:t xml:space="preserve">14.0</w:t>
            </w:r>
          </w:p>
        </w:tc>
        <w:tc>
          <w:tcPr>
            <w:tcW w:type="dxa" w:w="1150"/>
            <w:tcBorders>
              <w:top w:val="single" w:color="808080" w:sz="8"/>
              <w:left w:val="none" w:color="FFFFFF" w:sz="0"/>
              <w:bottom w:val="none" w:color="FFFFFF" w:sz="0"/>
              <w:right w:val="none" w:color="FFFFFF" w:sz="0"/>
            </w:tcBorders>
            <w:tcMar>
              <w:top w:type="dxa" w:w="70"/>
              <w:left w:type="dxa" w:w="100"/>
              <w:bottom w:type="dxa" w:w="70"/>
              <w:right w:type="dxa" w:w="100"/>
            </w:tcMar>
          </w:tcPr>
          <w:p>
            <w:pPr>
              <w:spacing w:after="0"/>
              <w:jc w:val="center"/>
            </w:pPr>
            <w:r>
              <w:rPr>
                <w:rFonts w:ascii="Calibri" w:cs="Calibri" w:eastAsia="Calibri" w:hAnsi="Calibri"/>
                <w:b/>
                <w:bCs/>
                <w:i w:val="false"/>
                <w:iCs w:val="false"/>
                <w:color w:val="1A1A1A"/>
                <w:sz w:val="19"/>
                <w:szCs w:val="19"/>
              </w:rPr>
              <w:t xml:space="preserve">19.25</w:t>
            </w:r>
          </w:p>
        </w:tc>
        <w:tc>
          <w:tcPr>
            <w:tcW w:type="dxa" w:w="3450"/>
            <w:tcBorders>
              <w:top w:val="single" w:color="808080" w:sz="8"/>
              <w:left w:val="none" w:color="FFFFFF" w:sz="0"/>
              <w:bottom w:val="none" w:color="FFFFFF" w:sz="0"/>
              <w:right w:val="none" w:color="FFFFFF" w:sz="0"/>
            </w:tcBorders>
            <w:tcMar>
              <w:top w:type="dxa" w:w="70"/>
              <w:left w:type="dxa" w:w="100"/>
              <w:bottom w:type="dxa" w:w="70"/>
              <w:right w:type="dxa" w:w="100"/>
            </w:tcMar>
          </w:tcPr>
          <w:p>
            <w:pPr>
              <w:spacing w:after="0"/>
              <w:jc w:val="left"/>
            </w:pPr>
            <w:r>
              <w:rPr>
                <w:rFonts w:ascii="Calibri" w:cs="Calibri" w:eastAsia="Calibri" w:hAnsi="Calibri"/>
                <w:b w:val="false"/>
                <w:bCs w:val="false"/>
                <w:i/>
                <w:iCs/>
                <w:color w:val="595959"/>
                <w:sz w:val="17"/>
                <w:szCs w:val="17"/>
              </w:rPr>
              <w:t xml:space="preserve">Conference limit for review papers: 20 pages</w:t>
            </w:r>
          </w:p>
        </w:tc>
      </w:tr>
    </w:tbl>
    <w:p>
      <w:pPr>
        <w:spacing w:after="200"/>
      </w:pPr>
    </w:p>
    <w:p>
      <w:pPr>
        <w:spacing w:after="100"/>
      </w:pPr>
      <w:r>
        <w:rPr>
          <w:rFonts w:ascii="Calibri" w:cs="Calibri" w:eastAsia="Calibri" w:hAnsi="Calibri"/>
          <w:b/>
          <w:bCs/>
          <w:i w:val="false"/>
          <w:iCs w:val="false"/>
          <w:color w:val="1A1A1A"/>
          <w:sz w:val="22"/>
          <w:szCs w:val="22"/>
        </w:rPr>
        <w:t xml:space="preserve">Scope, as agreed</w:t>
      </w:r>
    </w:p>
    <w:p>
      <w:pPr>
        <w:spacing w:after="200"/>
      </w:pPr>
      <w:r>
        <w:rPr>
          <w:rFonts w:ascii="Calibri" w:cs="Calibri" w:eastAsia="Calibri" w:hAnsi="Calibri"/>
          <w:b w:val="false"/>
          <w:bCs w:val="false"/>
          <w:i w:val="false"/>
          <w:iCs w:val="false"/>
          <w:color w:val="1A1A1A"/>
          <w:sz w:val="20"/>
          <w:szCs w:val="20"/>
        </w:rPr>
        <w:t xml:space="preserve">The review is narrowed to corpus construction and annotation for Malaysian code-mixed sentiment, framed as a review closing with a proposed framework. RQ2 - the multilingual versus monolingual comparison - is cut from the paper and retained in the thesis. Your section headings are unchanged; only the page weights differ.</w:t>
      </w:r>
    </w:p>
    <w:p>
      <w:pPr>
        <w:spacing w:after="100"/>
      </w:pPr>
      <w:r>
        <w:rPr>
          <w:rFonts w:ascii="Calibri" w:cs="Calibri" w:eastAsia="Calibri" w:hAnsi="Calibri"/>
          <w:b/>
          <w:bCs/>
          <w:i w:val="false"/>
          <w:iCs w:val="false"/>
          <w:color w:val="1A1A1A"/>
          <w:sz w:val="22"/>
          <w:szCs w:val="22"/>
        </w:rPr>
        <w:t xml:space="preserve">One item still open</w:t>
      </w:r>
    </w:p>
    <w:p>
      <w:pPr>
        <w:spacing w:after="200"/>
      </w:pPr>
      <w:r>
        <w:rPr>
          <w:rFonts w:ascii="Calibri" w:cs="Calibri" w:eastAsia="Calibri" w:hAnsi="Calibri"/>
          <w:b w:val="false"/>
          <w:bCs w:val="false"/>
          <w:i w:val="false"/>
          <w:iCs w:val="false"/>
          <w:color w:val="1A1A1A"/>
          <w:sz w:val="20"/>
          <w:szCs w:val="20"/>
        </w:rPr>
        <w:t xml:space="preserve">Could the review rounds be scheduled for 21, 25 and 29 August, with submission on 31 August? The schedule has no slack if a round slips, so it would help to fix these dates in advance.</w:t>
      </w:r>
    </w:p>
    <w:p>
      <w:pPr>
        <w:spacing w:after="100"/>
      </w:pPr>
      <w:r>
        <w:rPr>
          <w:rFonts w:ascii="Calibri" w:cs="Calibri" w:eastAsia="Calibri" w:hAnsi="Calibri"/>
          <w:b/>
          <w:bCs/>
          <w:i w:val="false"/>
          <w:iCs w:val="false"/>
          <w:color w:val="1A1A1A"/>
          <w:sz w:val="22"/>
          <w:szCs w:val="22"/>
        </w:rPr>
        <w:t xml:space="preserve">Note on the extra pages</w:t>
      </w:r>
    </w:p>
    <w:p>
      <w:pPr>
        <w:spacing w:after="140"/>
      </w:pPr>
      <w:r>
        <w:rPr>
          <w:rFonts w:ascii="Calibri" w:cs="Calibri" w:eastAsia="Calibri" w:hAnsi="Calibri"/>
          <w:b w:val="false"/>
          <w:bCs w:val="false"/>
          <w:i w:val="false"/>
          <w:iCs w:val="false"/>
          <w:color w:val="1A1A1A"/>
          <w:sz w:val="20"/>
          <w:szCs w:val="20"/>
        </w:rPr>
        <w:t xml:space="preserve">The five additional pages are not spread evenly. Most go to Corpus Construction and Annotation, which becomes the paper's core once the scope narrows, and the rest restore sections that were over-compressed when the limit was assumed to be 15. One page of margin is held in reserve, since page counts drift once the real tables and reference list go in.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2026-08-13T04:37:58.381Z</dcterms:created>
  <dcterms:modified xsi:type="dcterms:W3CDTF">2026-08-13T04:37:58.381Z</dcterms:modified>
</cp:coreProperties>
</file>

<file path=docProps/custom.xml><?xml version="1.0" encoding="utf-8"?>
<Properties xmlns="http://schemas.openxmlformats.org/officeDocument/2006/custom-properties" xmlns:vt="http://schemas.openxmlformats.org/officeDocument/2006/docPropsVTypes"/>
</file>