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b/>
          <w:bCs/>
          <w:color w:val="B8860B"/>
          <w:sz w:val="24"/>
          <w:szCs w:val="24"/>
        </w:rPr>
        <w:t xml:space="preserve">YONKERS BREWING COMPANY LLC</w:t>
      </w:r>
    </w:p>
    <w:p>
      <w:pPr>
        <w:spacing w:after="0" w:before="120"/>
      </w:pPr>
      <w:r>
        <w:rPr>
          <w:b/>
          <w:bCs/>
          <w:color w:val="1F3A5F"/>
          <w:sz w:val="48"/>
          <w:szCs w:val="48"/>
        </w:rPr>
        <w:t xml:space="preserve">Chart of Accounts Review</w:t>
      </w:r>
    </w:p>
    <w:p>
      <w:pPr>
        <w:spacing w:after="200" w:before="40"/>
      </w:pPr>
      <w:r>
        <w:rPr>
          <w:color w:val="444444"/>
          <w:sz w:val="26"/>
          <w:szCs w:val="26"/>
        </w:rPr>
        <w:t xml:space="preserve">Exit-Readiness Findings — from live QuickBooks data</w:t>
      </w:r>
    </w:p>
    <w:p>
      <w:pPr>
        <w:pBdr>
          <w:bottom w:val="single" w:color="B8860B" w:sz="12" w:space="1"/>
        </w:pBd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Prepared for: </w:t>
      </w:r>
      <w:r>
        <w:t xml:space="preserve">John, Yonkers Brewing Company</w:t>
      </w:r>
    </w:p>
    <w:p>
      <w:pPr>
        <w:spacing w:after="120" w:line="276"/>
      </w:pPr>
      <w:r>
        <w:rPr>
          <w:b/>
          <w:bCs/>
        </w:rPr>
        <w:t xml:space="preserve">Date: </w:t>
      </w:r>
      <w:r>
        <w:t xml:space="preserve">July 26, 2026</w:t>
      </w:r>
    </w:p>
    <w:p>
      <w:pPr>
        <w:spacing w:after="120" w:line="276"/>
      </w:pPr>
      <w:r>
        <w:rPr>
          <w:b/>
          <w:bCs/>
        </w:rPr>
        <w:t xml:space="preserve">Source: </w:t>
      </w:r>
      <w:r>
        <w:t xml:space="preserve">Live QuickBooks Online — Balance Sheet (year-to-date) and Profit &amp; Loss for Jan 1 – Jul 26, 2026, read directly by the agent.</w:t>
      </w:r>
    </w:p>
    <w:p>
      <w:pPr>
        <w:spacing w:after="120" w:line="276"/>
      </w:pPr>
      <w:r>
        <w:rPr>
          <w:b/>
          <w:bCs/>
        </w:rPr>
        <w:t xml:space="preserve">Lens: </w:t>
      </w:r>
      <w:r>
        <w:t xml:space="preserve">Every finding is scored the way a private-equity buyer’s quality-of-earnings team would see it. The goal is books that survive diligence and support the highest defensible multiple.</w:t>
      </w:r>
    </w:p>
    <w:p>
      <w:pPr>
        <w:pStyle w:val="Heading1"/>
        <w:spacing w:after="120" w:before="300"/>
      </w:pPr>
      <w:r>
        <w:rPr>
          <w:b/>
          <w:bCs/>
          <w:color w:val="1F3A5F"/>
        </w:rPr>
        <w:t xml:space="preserve">1. The numbers I read</w:t>
      </w:r>
    </w:p>
    <w:p>
      <w:pPr>
        <w:spacing w:after="120" w:line="276"/>
      </w:pPr>
      <w:r>
        <w:t xml:space="preserve">For orientation, here is the shape of the business as the books currently report it (year-to-date through July 26):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46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Year-to-date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Total income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$1,108,478</w:t>
            </w:r>
          </w:p>
        </w:tc>
      </w:tr>
      <w:tr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   Retail sales (net of refunds)</w:t>
            </w:r>
          </w:p>
        </w:tc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$968,259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   Wholesale sales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$77,253</w:t>
            </w:r>
          </w:p>
        </w:tc>
      </w:tr>
      <w:tr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   Live music &amp; events</w:t>
            </w:r>
          </w:p>
        </w:tc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$62,880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Cost of goods sold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$248,576  (22.4% of income)</w:t>
            </w:r>
          </w:p>
        </w:tc>
      </w:tr>
      <w:tr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Gross profit</w:t>
            </w:r>
          </w:p>
        </w:tc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$859,902  (77.6%)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Operating expenses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$737,124</w:t>
            </w:r>
          </w:p>
        </w:tc>
      </w:tr>
      <w:tr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   of which retail compensation</w:t>
            </w:r>
          </w:p>
        </w:tc>
        <w:tc>
          <w:tcPr>
            <w:tcW w:type="dxa" w:w="468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$346,960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Implied operating income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≈ $122,778  (≈ 11%)</w:t>
            </w:r>
          </w:p>
        </w:tc>
      </w:tr>
    </w:tbl>
    <w:p>
      <w:pPr>
        <w:spacing w:after="120" w:line="276"/>
      </w:pPr>
      <w:r>
        <w:t xml:space="preserve">A back-of-envelope prime cost — product plus labor — lands in the low-to-mid 50s percent of sales, which is a workable restaurant/venue number. But note two things the daily agent will tighten: the compensation account here captures retail wages only, so true all-in labor may read higher; and the P&amp;L’s own summary fields returned a net income of $0 while the detail clearly shows ~$123K of operating income — a reporting inconsistency that is itself a diligence flag (Section 3, item 9).</w:t>
      </w:r>
    </w:p>
    <w:p>
      <w:pPr>
        <w:pStyle w:val="Heading1"/>
        <w:spacing w:after="120" w:before="300"/>
      </w:pPr>
      <w:r>
        <w:rPr>
          <w:b/>
          <w:bCs/>
          <w:color w:val="1F3A5F"/>
        </w:rPr>
        <w:t xml:space="preserve">2. What’s already working</w:t>
      </w:r>
    </w:p>
    <w:p>
      <w:pPr>
        <w:spacing w:after="120" w:line="276"/>
      </w:pPr>
      <w:r>
        <w:t xml:space="preserve">Credit where due — the backbone is better than most independent operators, and several choices directly enable the CFO agent: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Channels are separated. </w:t>
      </w:r>
      <w:r>
        <w:t xml:space="preserve">Wholesale (4100s), Retail (4200s), and Live Music &amp; Events (9101) are distinct revenue groups — exactly the "two businesses" split your per-guest brief identified, and the structure a buyer needs to value each stream.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Revenue is menu-categorized. </w:t>
      </w:r>
      <w:r>
        <w:t xml:space="preserve">Beer, Liquor, Wine, Small Plates, Big Plates, Sandwiches, Brunch, Desserts, Non-Alcoholic and more are broken out — enough granularity to drive the menu-engineering and per-guest work without starting from scratch.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COGS mirrors revenue. </w:t>
      </w:r>
      <w:r>
        <w:t xml:space="preserve">Retail COGS splits Food, Beer (internal vs external), and Wine/Liquor, and wholesale COGS is separate. That is precisely what the weekly prime-cost skill needs to report cost in dollars and percent by category.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Brewery-aware balance sheet. </w:t>
      </w:r>
      <w:r>
        <w:t xml:space="preserve">Finished kegs, hops, production inputs, WIP, keg-deposit liability, and gift-card liability are all tracked — the brewery-specific accounts many restaurants miss.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</w:rPr>
        <w:t xml:space="preserve">3. Findings that need attention before a sale</w:t>
      </w:r>
    </w:p>
    <w:p>
      <w:pPr>
        <w:spacing w:after="120" w:line="276"/>
      </w:pPr>
      <w:r>
        <w:t xml:space="preserve">Ordered roughly by how much they would concern a buyer. Dollar figures are the current balances the agent read.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20"/>
        <w:gridCol w:w="2350"/>
        <w:gridCol w:w="3400"/>
        <w:gridCol w:w="3190"/>
      </w:tblGrid>
      <w:tr>
        <w:trPr>
          <w:tblHeader/>
        </w:trPr>
        <w:tc>
          <w:tcPr>
            <w:tcW w:type="dxa" w:w="4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19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rPr>
                <w:b/>
                <w:bCs/>
                <w:color w:val="FFFFFF"/>
              </w:rPr>
              <w:t xml:space="preserve">Recommended fix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1</w:t>
            </w:r>
          </w:p>
        </w:tc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Member equity is a thicket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Total equity is negative (−$12,929) and the equity section holds ~24 individual member accounts, several with large negatives (e.g. John Rubbo Equity −$476,754), plus paired "Name" and "Name Equity" accounts that double the clutter. Some names are misspelled ("Equiry", "Felecia", a "Laura Tenebaum" under "David Tenebaum").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Reconcile member equity to a clean cap table and the operating agreement; consolidate the paired accounts; fix names. Buyers read a messy equity section as weak controls.</w:t>
            </w:r>
          </w:p>
        </w:tc>
      </w:tr>
      <w:tr>
        <w:tc>
          <w:tcPr>
            <w:tcW w:type="dxa" w:w="42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2</w:t>
            </w:r>
          </w:p>
        </w:tc>
        <w:tc>
          <w:tcPr>
            <w:tcW w:type="dxa" w:w="235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Petty cash is implausibly large</w:t>
            </w:r>
          </w:p>
        </w:tc>
        <w:tc>
          <w:tcPr>
            <w:tcW w:type="dxa" w:w="340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Petty Cash carries $42,702 — far beyond any real till float. This almost always means uncleared cash or a misclassification.</w:t>
            </w:r>
          </w:p>
        </w:tc>
        <w:tc>
          <w:tcPr>
            <w:tcW w:type="dxa" w:w="319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Investigate and reclassify; get petty cash to a true small float. Unexplained cash is a classic diligence red flag.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3</w:t>
            </w:r>
          </w:p>
        </w:tc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Accounts Payable is negative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AP shows a debit balance of −$60,891 — vendor prepayments, credits, or misapplied payments sitting in the wrong direction.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Clean up and reclassify prepayments to an asset; buyers scrutinize negative AP closely.</w:t>
            </w:r>
          </w:p>
        </w:tc>
      </w:tr>
      <w:tr>
        <w:tc>
          <w:tcPr>
            <w:tcW w:type="dxa" w:w="42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4</w:t>
            </w:r>
          </w:p>
        </w:tc>
        <w:tc>
          <w:tcPr>
            <w:tcW w:type="dxa" w:w="235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Related-party balances</w:t>
            </w:r>
          </w:p>
        </w:tc>
        <w:tc>
          <w:tcPr>
            <w:tcW w:type="dxa" w:w="340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Loan – John $62,053, an Intercompany "Chicken Island" account, and large owner equity swings. Related-party items are diligence hot-spots.</w:t>
            </w:r>
          </w:p>
        </w:tc>
        <w:tc>
          <w:tcPr>
            <w:tcW w:type="dxa" w:w="319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Document terms for every related-party balance; ideally settle or formalize before sale. Feed these into the normalized-EBITDA add-back log.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5</w:t>
            </w:r>
          </w:p>
        </w:tc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Catch-all revenue buckets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Vague accounts blur the top line: "4150 Sales," "4140 Other Sales," and "4220 Other Sales" all coexist, and "Sales of Product Income" (QBO default) leaks $87. Your per-guest brief flagged the same thing on the Toast side ($4,222 uncategorized Margarita, duplicate beer buttons).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Retire the catch-alls; map every Toast item to a real GL category. One taxonomy, Toast-to-GL, enforced.</w:t>
            </w:r>
          </w:p>
        </w:tc>
      </w:tr>
      <w:tr>
        <w:tc>
          <w:tcPr>
            <w:tcW w:type="dxa" w:w="42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6</w:t>
            </w:r>
          </w:p>
        </w:tc>
        <w:tc>
          <w:tcPr>
            <w:tcW w:type="dxa" w:w="235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No revenue-center dimension</w:t>
            </w:r>
          </w:p>
        </w:tc>
        <w:tc>
          <w:tcPr>
            <w:tcW w:type="dxa" w:w="340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The GL cannot tell bar from dining from patio from stage — exactly why the per-guest decline can’t be decomposed by room. Live-music revenue (9101) has no matching departmental cost grouping.</w:t>
            </w:r>
          </w:p>
        </w:tc>
        <w:tc>
          <w:tcPr>
            <w:tcW w:type="dxa" w:w="319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Add QuickBooks classes/locations for revenue centers and tag transactions. This is what lets a buyer (and you) slice the P&amp;L by room and by the two business models.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7</w:t>
            </w:r>
          </w:p>
        </w:tc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Tip &amp; payroll clearing balances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Tips Payable $17,450 sits against a Payroll Clearing balance of −$15,403 — the tip and payroll reconciliation needs attention, and ties directly to the cash-tip reporting control you asked for.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Reconcile tips and payroll clearing each pay cycle; the labor skill will enforce cash-tip capture upstream.</w:t>
            </w:r>
          </w:p>
        </w:tc>
      </w:tr>
      <w:tr>
        <w:tc>
          <w:tcPr>
            <w:tcW w:type="dxa" w:w="42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8</w:t>
            </w:r>
          </w:p>
        </w:tc>
        <w:tc>
          <w:tcPr>
            <w:tcW w:type="dxa" w:w="235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Excise tax barely accrued</w:t>
            </w:r>
          </w:p>
        </w:tc>
        <w:tc>
          <w:tcPr>
            <w:tcW w:type="dxa" w:w="340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NY Excise Tax shows a balance of $0.01 — effectively unused — despite active wholesale and internal beer movement.</w:t>
            </w:r>
          </w:p>
        </w:tc>
        <w:tc>
          <w:tcPr>
            <w:tcW w:type="dxa" w:w="319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Stand up a real excise accrual (federal TTB and NY) so the liability is on the books as it accrues, not settled off-ledger.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9</w:t>
            </w:r>
          </w:p>
        </w:tc>
        <w:tc>
          <w:tcPr>
            <w:tcW w:type="dxa" w:w="2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Report integrity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The P&amp;L summary returned net income $0 / expenses $0 while the detail shows ~$123K operating income and $737K expenses — a mapping quirk that would undermine confidence in exported statements.</w:t>
            </w:r>
          </w:p>
        </w:tc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Resolve the account-type/mapping issue so headline statements foot to the detail every time.</w:t>
            </w:r>
          </w:p>
        </w:tc>
      </w:tr>
      <w:tr>
        <w:tc>
          <w:tcPr>
            <w:tcW w:type="dxa" w:w="42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10</w:t>
            </w:r>
          </w:p>
        </w:tc>
        <w:tc>
          <w:tcPr>
            <w:tcW w:type="dxa" w:w="235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Delivery &amp; sign conventions</w:t>
            </w:r>
          </w:p>
        </w:tc>
        <w:tc>
          <w:tcPr>
            <w:tcW w:type="dxa" w:w="340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Aggregator receivables (GrubHub $12,762, UberEats, DoorDash) sit inside "Credit Card Cash Receivables"; a "6210 Promos" expense account is nested under Gross Retail Sales with a negative value.</w:t>
            </w:r>
          </w:p>
        </w:tc>
        <w:tc>
          <w:tcPr>
            <w:tcW w:type="dxa" w:w="3190"/>
            <w:shd w:fill="F0ED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4"/>
              <w:jc w:val="left"/>
            </w:pPr>
            <w:r>
              <w:t xml:space="preserve">Separate aggregator receivables and age them; move mis-nested contra accounts to their correct groups.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</w:rPr>
        <w:t xml:space="preserve">4. Structural moves to be sale-ready</w:t>
      </w:r>
    </w:p>
    <w:p>
      <w:pPr>
        <w:spacing w:after="120" w:line="276"/>
      </w:pPr>
      <w:r>
        <w:t xml:space="preserve">Beyond the line-item fixes, five structural changes make the company legible to a buyer and become standing jobs for the exit-readiness skill (#19):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Add a revenue-center dimension </w:t>
      </w:r>
      <w:r>
        <w:t xml:space="preserve">(classes/locations: bar, dining, patio, stage, brewery/wholesale) so every report can be sliced the way diligence expects.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Build a normalized-EBITDA schedule </w:t>
      </w:r>
      <w:r>
        <w:t xml:space="preserve">that captures add-backs as they occur — owner compensation, related-party interest/rent, one-time costs — so adjusted earnings are documented, not reconstructed under deadline.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Reconcile the cap table </w:t>
      </w:r>
      <w:r>
        <w:t xml:space="preserve">and simplify the equity section to match the operating agreement.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Enforce one menu taxonomy </w:t>
      </w:r>
      <w:r>
        <w:t xml:space="preserve">from Toast through to the GL, killing catch-all sales accounts — this also sharpens the per-guest and menu-engineering analysis.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Clean the suspense items </w:t>
      </w:r>
      <w:r>
        <w:t xml:space="preserve">— petty cash, negative AP, payroll clearing — so the balance sheet has no unexplained balances a buyer can discount the price over.</w:t>
      </w:r>
    </w:p>
    <w:p>
      <w:pPr>
        <w:pStyle w:val="Heading1"/>
        <w:spacing w:after="120" w:before="300"/>
      </w:pPr>
      <w:r>
        <w:rPr>
          <w:b/>
          <w:bCs/>
          <w:color w:val="1F3A5F"/>
        </w:rPr>
        <w:t xml:space="preserve">5. How this feeds the agent</w:t>
      </w:r>
    </w:p>
    <w:p>
      <w:pPr>
        <w:spacing w:after="120" w:line="276"/>
      </w:pPr>
      <w:r>
        <w:t xml:space="preserve">This review is the first output of three skills working together: the classification skill (#1) will encode the corrected Toast-to-GL taxonomy; the weekly prime-cost skill (#7) will run on the Food / Beer / Wine-Liquor COGS split that already exists; and the exit-readiness skill (#19) will carry the fixes above as a live checklist, re-checking each month so the books drift toward sale-ready rather than away from it. Nothing here requires a rebuild — it’s cleanup and a couple of new dimensions on a fundamentally sound structure.</w:t>
      </w:r>
    </w:p>
    <w:p>
      <w:pPr>
        <w:pBdr>
          <w:bottom w:val="single" w:color="B8860B" w:sz="12" w:space="1"/>
        </w:pBd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9B2D2D"/>
        </w:rPr>
        <w:t xml:space="preserve">Caveat: </w:t>
      </w:r>
      <w:r>
        <w:t xml:space="preserve">these findings come from reading the current QuickBooks reports, not from a full transaction-level audit. A few items (petty cash, negative AP) need a look at the underlying entries to confirm cause — which the agent can do next once we point it at those accounts. None of this is a substitute for your CPA’s sign-off on the final sale-ready statements.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 of Accounts Review</dc:title>
  <dc:creator>Yonkers Brewing Company</dc:creator>
  <cp:lastModifiedBy>Un-named</cp:lastModifiedBy>
  <cp:revision>1</cp:revision>
  <dcterms:created xsi:type="dcterms:W3CDTF">2026-07-26T01:07:25.965Z</dcterms:created>
  <dcterms:modified xsi:type="dcterms:W3CDTF">2026-07-26T01:07:25.966Z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