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84"/>
          <w:szCs w:val="84"/>
          <w:lang w:eastAsia="zh-CN"/>
        </w:rPr>
      </w:pPr>
      <w:r>
        <w:rPr>
          <w:rFonts w:hint="eastAsia"/>
          <w:color w:val="FF0000"/>
          <w:sz w:val="84"/>
          <w:szCs w:val="84"/>
          <w:lang w:eastAsia="zh-CN"/>
        </w:rPr>
        <w:t>记得反馈</w:t>
      </w:r>
      <w:bookmarkStart w:id="0" w:name="_GoBack"/>
      <w:bookmarkEnd w:id="0"/>
    </w:p>
    <w:p>
      <w:pPr>
        <w:jc w:val="center"/>
        <w:rPr>
          <w:rFonts w:hint="eastAsia" w:eastAsiaTheme="minorEastAsia"/>
          <w:color w:val="FF0000"/>
          <w:sz w:val="84"/>
          <w:szCs w:val="84"/>
          <w:lang w:val="en-US" w:eastAsia="zh-CN"/>
        </w:rPr>
      </w:pPr>
      <w:r>
        <w:rPr>
          <w:rFonts w:hint="eastAsia"/>
          <w:color w:val="FF0000"/>
          <w:sz w:val="84"/>
          <w:szCs w:val="84"/>
          <w:lang w:val="en-US" w:eastAsia="zh-CN"/>
        </w:rPr>
        <w:t>作业已经布置了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2018-06-22T09:34:19Z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