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rPr>
          <w:rFonts w:hint="eastAsia"/>
        </w:rPr>
        <w:t xml:space="preserve">江口聡</w:t>
      </w:r>
    </w:p>
    <w:bookmarkStart w:id="9" w:name="参照判例略記"/>
    <w:p>
      <w:pPr>
        <w:pStyle w:val="Heading2"/>
      </w:pPr>
      <w:r>
        <w:rPr>
          <w:rFonts w:hint="eastAsia"/>
        </w:rPr>
        <w:t xml:space="preserve">参照判例略記</w:t>
      </w:r>
    </w:p>
    <w:p>
      <w:pPr>
        <w:pStyle w:val="FirstParagraph"/>
      </w:pPr>
      <w:r>
        <w:rPr>
          <w:i/>
          <w:iCs/>
        </w:rPr>
        <w:t xml:space="preserve">American Booksellers Association v. Hudnut</w:t>
      </w:r>
      <w:r>
        <w:t xml:space="preserve"> </w:t>
      </w:r>
      <w:r>
        <w:t xml:space="preserve">771 F.2d 329 (7th Cir. 1985)</w:t>
      </w:r>
    </w:p>
    <w:p>
      <w:pPr>
        <w:pStyle w:val="BodyText"/>
      </w:pPr>
      <w:r>
        <w:rPr>
          <w:i/>
          <w:iCs/>
        </w:rPr>
        <w:t xml:space="preserve">Ashcroft v. Free Speech Coalition</w:t>
      </w:r>
      <w:r>
        <w:t xml:space="preserve"> </w:t>
      </w:r>
      <w:r>
        <w:t xml:space="preserve">(00-795) 535 U.S. 234 (2002)</w:t>
      </w:r>
    </w:p>
    <w:p>
      <w:pPr>
        <w:pStyle w:val="BodyText"/>
      </w:pPr>
      <w:r>
        <w:rPr>
          <w:i/>
          <w:iCs/>
        </w:rPr>
        <w:t xml:space="preserve">Baker v. Nelson</w:t>
      </w:r>
      <w:r>
        <w:t xml:space="preserve">, 291 Minn. 310, 191 N.W.2d 185 (1971)</w:t>
      </w:r>
    </w:p>
    <w:p>
      <w:pPr>
        <w:pStyle w:val="BodyText"/>
      </w:pPr>
      <w:r>
        <w:rPr>
          <w:i/>
          <w:iCs/>
        </w:rPr>
        <w:t xml:space="preserve">Barnes v. Glen Theatre, Inc.</w:t>
      </w:r>
      <w:r>
        <w:t xml:space="preserve">, 90–26, 501 U.S. 560, 1991</w:t>
      </w:r>
    </w:p>
    <w:p>
      <w:pPr>
        <w:pStyle w:val="BodyText"/>
      </w:pPr>
      <w:r>
        <w:rPr>
          <w:i/>
          <w:iCs/>
        </w:rPr>
        <w:t xml:space="preserve">Bedford</w:t>
      </w:r>
      <w:r>
        <w:t xml:space="preserve">/(</w:t>
      </w:r>
      <w:r>
        <w:rPr>
          <w:i/>
          <w:iCs/>
        </w:rPr>
        <w:t xml:space="preserve">Canada (AG) v. Bedford</w:t>
      </w:r>
      <w:r>
        <w:t xml:space="preserve">, 2013 SCC 72, [2013] 3 SCR 1101, para 64)</w:t>
      </w:r>
    </w:p>
    <w:p>
      <w:pPr>
        <w:pStyle w:val="BodyText"/>
      </w:pPr>
      <w:r>
        <w:rPr>
          <w:i/>
          <w:iCs/>
        </w:rPr>
        <w:t xml:space="preserve">Bowers v. Hardwick</w:t>
      </w:r>
      <w:r>
        <w:t xml:space="preserve">, 478 U.S. 186 (1986)</w:t>
      </w:r>
    </w:p>
    <w:p>
      <w:pPr>
        <w:pStyle w:val="BodyText"/>
      </w:pPr>
      <w:r>
        <w:rPr>
          <w:i/>
          <w:iCs/>
        </w:rPr>
        <w:t xml:space="preserve">Campbell v. Sundquist</w:t>
      </w:r>
      <w:r>
        <w:t xml:space="preserve">, 926 S.W.2d 250 (Tenn. Ct. App. 1996)</w:t>
      </w:r>
    </w:p>
    <w:p>
      <w:pPr>
        <w:pStyle w:val="BodyText"/>
      </w:pPr>
      <w:r>
        <w:rPr>
          <w:i/>
          <w:iCs/>
        </w:rPr>
        <w:t xml:space="preserve">Chaplinsky v. New Hampshire</w:t>
      </w:r>
      <w:r>
        <w:t xml:space="preserve">, 315 US 568 (1942)</w:t>
      </w:r>
    </w:p>
    <w:p>
      <w:pPr>
        <w:pStyle w:val="BodyText"/>
      </w:pPr>
      <w:r>
        <w:rPr>
          <w:i/>
          <w:iCs/>
        </w:rPr>
        <w:t xml:space="preserve">Commonwealth v. Appleby</w:t>
      </w:r>
      <w:r>
        <w:t xml:space="preserve">, 402 N.E.2d 1051, 1054 (Mass. 1980)</w:t>
      </w:r>
    </w:p>
    <w:p>
      <w:pPr>
        <w:pStyle w:val="BodyText"/>
      </w:pPr>
      <w:r>
        <w:rPr>
          <w:i/>
          <w:iCs/>
        </w:rPr>
        <w:t xml:space="preserve">Eldridge v. British Columbia</w:t>
      </w:r>
      <w:r>
        <w:t xml:space="preserve"> </w:t>
      </w:r>
      <w:r>
        <w:t xml:space="preserve">(Attorney General), [1997] 3 S.C.R. 624</w:t>
      </w:r>
    </w:p>
    <w:p>
      <w:pPr>
        <w:pStyle w:val="BodyText"/>
      </w:pPr>
      <w:r>
        <w:rPr>
          <w:i/>
          <w:iCs/>
        </w:rPr>
        <w:t xml:space="preserve">FTC v. Colgate-Palmolive Co.</w:t>
      </w:r>
      <w:r>
        <w:t xml:space="preserve">, 380 U.S. 374 (1965)</w:t>
      </w:r>
    </w:p>
    <w:p>
      <w:pPr>
        <w:pStyle w:val="BodyText"/>
      </w:pPr>
      <w:r>
        <w:rPr>
          <w:i/>
          <w:iCs/>
        </w:rPr>
        <w:t xml:space="preserve">Ginzburg v. United States</w:t>
      </w:r>
      <w:r>
        <w:t xml:space="preserve">, 383 U.S. 463, 479 (1966)</w:t>
      </w:r>
    </w:p>
    <w:p>
      <w:pPr>
        <w:pStyle w:val="BodyText"/>
      </w:pPr>
      <w:r>
        <w:rPr>
          <w:i/>
          <w:iCs/>
        </w:rPr>
        <w:t xml:space="preserve">Harris v. State</w:t>
      </w:r>
      <w:r>
        <w:t xml:space="preserve">, 457 P.2d 638, 1969</w:t>
      </w:r>
    </w:p>
    <w:p>
      <w:pPr>
        <w:pStyle w:val="BodyText"/>
      </w:pPr>
      <w:r>
        <w:rPr>
          <w:i/>
          <w:iCs/>
        </w:rPr>
        <w:t xml:space="preserve">Hess v. Indiana</w:t>
      </w:r>
      <w:r>
        <w:t xml:space="preserve">, 414 U.S. 105, 108 (1973)</w:t>
      </w:r>
    </w:p>
    <w:p>
      <w:pPr>
        <w:pStyle w:val="BodyText"/>
      </w:pPr>
      <w:r>
        <w:rPr>
          <w:i/>
          <w:iCs/>
        </w:rPr>
        <w:t xml:space="preserve">Jacobellis v. Ohio</w:t>
      </w:r>
      <w:r>
        <w:t xml:space="preserve">, 378 U.S. 184 (1964)</w:t>
      </w:r>
    </w:p>
    <w:p>
      <w:pPr>
        <w:pStyle w:val="BodyText"/>
      </w:pPr>
      <w:r>
        <w:rPr>
          <w:i/>
          <w:iCs/>
        </w:rPr>
        <w:t xml:space="preserve">Kerrigan v. Commissioner of Public Health</w:t>
      </w:r>
      <w:r>
        <w:t xml:space="preserve">, 289 Conn. 135, 957 A.2d 407 (2008)</w:t>
      </w:r>
    </w:p>
    <w:p>
      <w:pPr>
        <w:pStyle w:val="BodyText"/>
      </w:pPr>
      <w:r>
        <w:rPr>
          <w:i/>
          <w:iCs/>
        </w:rPr>
        <w:t xml:space="preserve">Lawrence et al. v. Texas</w:t>
      </w:r>
      <w:r>
        <w:t xml:space="preserve">, 02–102, 539 U.S. 558 (2003)</w:t>
      </w:r>
    </w:p>
    <w:p>
      <w:pPr>
        <w:pStyle w:val="BodyText"/>
      </w:pPr>
      <w:r>
        <w:rPr>
          <w:i/>
          <w:iCs/>
        </w:rPr>
        <w:t xml:space="preserve">Loving v. Virginia</w:t>
      </w:r>
      <w:r>
        <w:t xml:space="preserve">, 388 U.S. 1, 12 (1967)</w:t>
      </w:r>
    </w:p>
    <w:p>
      <w:pPr>
        <w:pStyle w:val="BodyText"/>
      </w:pPr>
      <w:r>
        <w:rPr>
          <w:i/>
          <w:iCs/>
        </w:rPr>
        <w:t xml:space="preserve">Marsh v. Alabama</w:t>
      </w:r>
      <w:r>
        <w:t xml:space="preserve">, 326 U.S. 501 (1946),</w:t>
      </w:r>
    </w:p>
    <w:p>
      <w:pPr>
        <w:pStyle w:val="BodyText"/>
      </w:pPr>
      <w:r>
        <w:rPr>
          <w:i/>
          <w:iCs/>
        </w:rPr>
        <w:t xml:space="preserve">McGee v. Attorney General</w:t>
      </w:r>
      <w:r>
        <w:t xml:space="preserve">, [1973] IR 284</w:t>
      </w:r>
    </w:p>
    <w:p>
      <w:pPr>
        <w:pStyle w:val="BodyText"/>
      </w:pPr>
      <w:r>
        <w:rPr>
          <w:i/>
          <w:iCs/>
        </w:rPr>
        <w:t xml:space="preserve">Miller v. California</w:t>
      </w:r>
      <w:r>
        <w:t xml:space="preserve">, 413 U.S. 15, 34–35 (1973)</w:t>
      </w:r>
    </w:p>
    <w:p>
      <w:pPr>
        <w:pStyle w:val="BodyText"/>
      </w:pPr>
      <w:r>
        <w:rPr>
          <w:i/>
          <w:iCs/>
        </w:rPr>
        <w:t xml:space="preserve">Mock v. University of Tennessee at Chattanooga</w:t>
      </w:r>
      <w:r>
        <w:t xml:space="preserve">, No. 14-1687-II, Tenn. Ch. Ct. 10 August 2015</w:t>
      </w:r>
    </w:p>
    <w:p>
      <w:pPr>
        <w:pStyle w:val="BodyText"/>
      </w:pPr>
      <w:r>
        <w:rPr>
          <w:i/>
          <w:iCs/>
        </w:rPr>
        <w:t xml:space="preserve">Obergefell v. Hodges</w:t>
      </w:r>
      <w:r>
        <w:t xml:space="preserve">, 576 U.S. 644 (2015)</w:t>
      </w:r>
    </w:p>
    <w:p>
      <w:pPr>
        <w:pStyle w:val="BodyText"/>
      </w:pPr>
      <w:r>
        <w:rPr>
          <w:i/>
          <w:iCs/>
        </w:rPr>
        <w:t xml:space="preserve">Paris Adult Theatre Inc. v. Slaton</w:t>
      </w:r>
      <w:r>
        <w:t xml:space="preserve">, 413 U.S. 49, 63 (1973)</w:t>
      </w:r>
    </w:p>
    <w:p>
      <w:pPr>
        <w:pStyle w:val="BodyText"/>
      </w:pPr>
      <w:r>
        <w:rPr>
          <w:i/>
          <w:iCs/>
        </w:rPr>
        <w:t xml:space="preserve">Pavesich v. New England Life Ins. Co.</w:t>
      </w:r>
      <w:r>
        <w:t xml:space="preserve">, 122 Ga. 190, 194, 50 S.E. 68, (1905)</w:t>
      </w:r>
    </w:p>
    <w:p>
      <w:pPr>
        <w:pStyle w:val="BodyText"/>
      </w:pPr>
      <w:r>
        <w:rPr>
          <w:i/>
          <w:iCs/>
        </w:rPr>
        <w:t xml:space="preserve">People v. Bink</w:t>
      </w:r>
      <w:r>
        <w:t xml:space="preserve">, 84 A.D.2d 607 (N.Y. App. Div. 1981)</w:t>
      </w:r>
    </w:p>
    <w:p>
      <w:pPr>
        <w:pStyle w:val="BodyText"/>
      </w:pPr>
      <w:r>
        <w:rPr>
          <w:i/>
          <w:iCs/>
        </w:rPr>
        <w:t xml:space="preserve">People v. Burnham</w:t>
      </w:r>
      <w:r>
        <w:t xml:space="preserve">, 176 Cal. App. 3d 1134 (Ct. App. 1986)</w:t>
      </w:r>
    </w:p>
    <w:p>
      <w:pPr>
        <w:pStyle w:val="BodyText"/>
      </w:pPr>
      <w:r>
        <w:rPr>
          <w:i/>
          <w:iCs/>
        </w:rPr>
        <w:t xml:space="preserve">People v. Evans</w:t>
      </w:r>
      <w:r>
        <w:t xml:space="preserve">, 85 Misc. 2d 1088, 379 N.Y.S. 2d 912, Sup. Ct. (1975)</w:t>
      </w:r>
    </w:p>
    <w:p>
      <w:pPr>
        <w:pStyle w:val="BodyText"/>
      </w:pPr>
      <w:r>
        <w:rPr>
          <w:i/>
          <w:iCs/>
        </w:rPr>
        <w:t xml:space="preserve">People v. Jovanovic</w:t>
      </w:r>
      <w:r>
        <w:t xml:space="preserve">, 263 A.D.2d 182, 700 N.Y.S.2d 156 (N.Y. App. Div. 1st Dep’t 1999)</w:t>
      </w:r>
    </w:p>
    <w:p>
      <w:pPr>
        <w:pStyle w:val="BodyText"/>
      </w:pPr>
      <w:r>
        <w:rPr>
          <w:i/>
          <w:iCs/>
        </w:rPr>
        <w:t xml:space="preserve">People v. Mayberry</w:t>
      </w:r>
      <w:r>
        <w:t xml:space="preserve">, 15 Cal.3d 143 (1975)</w:t>
      </w:r>
    </w:p>
    <w:p>
      <w:pPr>
        <w:pStyle w:val="BodyText"/>
      </w:pPr>
      <w:r>
        <w:rPr>
          <w:i/>
          <w:iCs/>
        </w:rPr>
        <w:t xml:space="preserve">Planned Parenthood of Southeastern Pa. v. Casey</w:t>
      </w:r>
      <w:r>
        <w:t xml:space="preserve"> </w:t>
      </w:r>
      <w:r>
        <w:t xml:space="preserve">(91-744), 505 U.S. 833 (1992)</w:t>
      </w:r>
    </w:p>
    <w:p>
      <w:pPr>
        <w:pStyle w:val="BodyText"/>
      </w:pPr>
      <w:r>
        <w:rPr>
          <w:i/>
          <w:iCs/>
        </w:rPr>
        <w:t xml:space="preserve">R v. Bree</w:t>
      </w:r>
      <w:r>
        <w:t xml:space="preserve"> </w:t>
      </w:r>
      <w:r>
        <w:t xml:space="preserve">[2007] EWCA Crim 804</w:t>
      </w:r>
    </w:p>
    <w:p>
      <w:pPr>
        <w:pStyle w:val="BodyText"/>
      </w:pPr>
      <w:r>
        <w:rPr>
          <w:i/>
          <w:iCs/>
        </w:rPr>
        <w:t xml:space="preserve">R v. Brown</w:t>
      </w:r>
      <w:r>
        <w:t xml:space="preserve"> </w:t>
      </w:r>
      <w:r>
        <w:t xml:space="preserve">[1993] 2 All ER 75</w:t>
      </w:r>
    </w:p>
    <w:p>
      <w:pPr>
        <w:pStyle w:val="BodyText"/>
      </w:pPr>
      <w:r>
        <w:rPr>
          <w:i/>
          <w:iCs/>
        </w:rPr>
        <w:t xml:space="preserve">R v. JA</w:t>
      </w:r>
      <w:r>
        <w:t xml:space="preserve"> </w:t>
      </w:r>
      <w:r>
        <w:t xml:space="preserve">2011 SCC 28</w:t>
      </w:r>
    </w:p>
    <w:p>
      <w:pPr>
        <w:pStyle w:val="BodyText"/>
      </w:pPr>
      <w:r>
        <w:rPr>
          <w:i/>
          <w:iCs/>
        </w:rPr>
        <w:t xml:space="preserve">Reliable Consultants, Inc. v. Earle</w:t>
      </w:r>
      <w:r>
        <w:t xml:space="preserve">, 517 F.3d 738 (5th Cir. 2008)</w:t>
      </w:r>
    </w:p>
    <w:p>
      <w:pPr>
        <w:pStyle w:val="BodyText"/>
      </w:pPr>
      <w:r>
        <w:rPr>
          <w:i/>
          <w:iCs/>
        </w:rPr>
        <w:t xml:space="preserve">Roe v. Wade</w:t>
      </w:r>
      <w:r>
        <w:t xml:space="preserve">, 410 U.S. 113 (1973)</w:t>
      </w:r>
    </w:p>
    <w:p>
      <w:pPr>
        <w:pStyle w:val="BodyText"/>
      </w:pPr>
      <w:r>
        <w:rPr>
          <w:i/>
          <w:iCs/>
        </w:rPr>
        <w:t xml:space="preserve">Roth v. United States</w:t>
      </w:r>
      <w:r>
        <w:t xml:space="preserve">, 354 U.S. 476, 484 (1957)</w:t>
      </w:r>
    </w:p>
    <w:p>
      <w:pPr>
        <w:pStyle w:val="BodyText"/>
      </w:pPr>
      <w:r>
        <w:rPr>
          <w:i/>
          <w:iCs/>
        </w:rPr>
        <w:t xml:space="preserve">Schenck v. United States</w:t>
      </w:r>
      <w:r>
        <w:t xml:space="preserve">, 249 U.S. 47249 U.S. 47 (1919)</w:t>
      </w:r>
    </w:p>
    <w:p>
      <w:pPr>
        <w:pStyle w:val="BodyText"/>
      </w:pPr>
      <w:r>
        <w:rPr>
          <w:i/>
          <w:iCs/>
        </w:rPr>
        <w:t xml:space="preserve">State v. Collier</w:t>
      </w:r>
      <w:r>
        <w:t xml:space="preserve">, 372 N.W.2d 303 (Iowa Ct. App. 1985)</w:t>
      </w:r>
    </w:p>
    <w:p>
      <w:pPr>
        <w:pStyle w:val="BodyText"/>
      </w:pPr>
      <w:r>
        <w:rPr>
          <w:i/>
          <w:iCs/>
        </w:rPr>
        <w:t xml:space="preserve">State v. Guinn</w:t>
      </w:r>
      <w:r>
        <w:t xml:space="preserve">, No 23886-1-II, 2001 Wash. App. (Wash. Ct. App., March 30, 2001)</w:t>
      </w:r>
    </w:p>
    <w:p>
      <w:pPr>
        <w:pStyle w:val="BodyText"/>
      </w:pPr>
      <w:r>
        <w:rPr>
          <w:i/>
          <w:iCs/>
        </w:rPr>
        <w:t xml:space="preserve">Williams v. King</w:t>
      </w:r>
      <w:r>
        <w:t xml:space="preserve">, 28 U.S.C. 636(c)(1) (2017)</w:t>
      </w:r>
    </w:p>
    <w:p>
      <w:pPr>
        <w:pStyle w:val="BodyText"/>
      </w:pPr>
      <w:r>
        <w:rPr>
          <w:i/>
          <w:iCs/>
        </w:rPr>
        <w:t xml:space="preserve">Xiong Edmondson v. Xiong</w:t>
      </w:r>
      <w:r>
        <w:t xml:space="preserve">, 648 N.W.2d 900 (Wis. Ct. App. 2002)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江口聡</dc:creator>
  <cp:keywords/>
  <dcterms:created xsi:type="dcterms:W3CDTF">2025-10-21T04:29:30Z</dcterms:created>
  <dcterms:modified xsi:type="dcterms:W3CDTF">2025-10-21T04:29:30Z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</Properties>
</file>