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32F" w:rsidRDefault="00A32254" w:rsidP="00993DBA">
      <w:pPr>
        <w:ind w:firstLineChars="100" w:firstLine="210"/>
      </w:pPr>
      <w:r>
        <w:rPr>
          <w:noProof/>
        </w:rPr>
        <w:drawing>
          <wp:inline distT="0" distB="0" distL="0" distR="0" wp14:anchorId="081326BF" wp14:editId="715F19D7">
            <wp:extent cx="5788325" cy="463065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50000"/>
                    <a:stretch/>
                  </pic:blipFill>
                  <pic:spPr bwMode="auto">
                    <a:xfrm>
                      <a:off x="0" y="0"/>
                      <a:ext cx="5801743" cy="464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928" w:rsidRDefault="006E1928" w:rsidP="00993DBA">
      <w:pPr>
        <w:ind w:firstLineChars="100" w:firstLine="210"/>
      </w:pPr>
    </w:p>
    <w:p w:rsidR="006E1928" w:rsidRDefault="006E1928" w:rsidP="00993DBA">
      <w:pPr>
        <w:ind w:firstLineChars="100" w:firstLine="210"/>
      </w:pPr>
      <w:r>
        <w:t>Industry data &gt; Steel &amp; Iron &gt; Industry fixed assets investment and production capacity &gt; Domestic steelworks production situation</w:t>
      </w:r>
      <w:bookmarkStart w:id="0" w:name="_GoBack"/>
      <w:bookmarkEnd w:id="0"/>
    </w:p>
    <w:sectPr w:rsidR="006E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254"/>
    <w:rsid w:val="006E1928"/>
    <w:rsid w:val="00993DBA"/>
    <w:rsid w:val="00A32254"/>
    <w:rsid w:val="00D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28EA"/>
  <w15:docId w15:val="{9A3E722B-275A-49CE-875A-35FE55A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2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Joey</cp:lastModifiedBy>
  <cp:revision>2</cp:revision>
  <dcterms:created xsi:type="dcterms:W3CDTF">2019-01-25T06:13:00Z</dcterms:created>
  <dcterms:modified xsi:type="dcterms:W3CDTF">2019-01-25T06:55:00Z</dcterms:modified>
</cp:coreProperties>
</file>