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75B6"/>
          <w:sz w:val="22"/>
          <w:szCs w:val="22"/>
        </w:rPr>
        <w:t xml:space="preserve">삽교주간보호센터 · 2026년 주야간보호 평가 대비</w:t>
      </w:r>
    </w:p>
    <w:p>
      <w:pPr>
        <w:spacing w:after="60"/>
        <w:jc w:val="center"/>
      </w:pPr>
      <w:r>
        <w:rPr>
          <w:b/>
          <w:bCs/>
          <w:color w:val="1F3864"/>
          <w:sz w:val="34"/>
          <w:szCs w:val="34"/>
        </w:rPr>
        <w:t xml:space="preserve">「정보제공」 지표 확인 체크리스트</w:t>
      </w:r>
    </w:p>
    <w:p>
      <w:pPr>
        <w:spacing w:after="200"/>
        <w:jc w:val="center"/>
      </w:pPr>
      <w:r>
        <w:rPr>
          <w:color w:val="777777"/>
          <w:sz w:val="20"/>
          <w:szCs w:val="20"/>
        </w:rPr>
        <w:t xml:space="preserve">주야간보호 18번 · 배점 1점 · 지표적용기간: 평가일  (2026년 주야간보호 매뉴얼 기준)</w:t>
      </w:r>
    </w:p>
    <w:p>
      <w:pPr>
        <w:pBdr>
          <w:bottom w:val="single" w:color="2E75B6" w:sz="8" w:space="1"/>
        </w:pBdr>
        <w:spacing w:after="200"/>
      </w:pPr>
      <w:r>
        <w:t xml:space="preserve"/>
      </w:r>
    </w:p>
    <w:p>
      <w:pPr>
        <w:spacing w:after="110"/>
      </w:pPr>
      <w:r>
        <w:rPr>
          <w:b/>
          <w:bCs/>
        </w:rPr>
        <w:t xml:space="preserve">평가방향  </w:t>
      </w:r>
      <w:r>
        <w:rPr>
          <w:sz w:val="22"/>
          <w:szCs w:val="22"/>
        </w:rPr>
        <w:t xml:space="preserve">수급자(보호자)에게 급여이용에 대한 정보를 제공하여 급여이용 및 선택을 결정할 수 있도록 지원하는지 평가합니다.</w:t>
      </w:r>
    </w:p>
    <w:p>
      <w:pPr>
        <w:spacing w:after="110"/>
      </w:pPr>
      <w:r>
        <w:rPr>
          <w:b/>
          <w:bCs/>
        </w:rPr>
        <w:t xml:space="preserve">평가기준 ①  </w:t>
      </w:r>
      <w:r>
        <w:rPr>
          <w:sz w:val="22"/>
          <w:szCs w:val="22"/>
        </w:rPr>
        <w:t xml:space="preserve">노인장기요양보험 홈페이지에 장기요양기관의 정보를 게시하고 있으며, 정보가 변경된 경우 수정한다. (충족 시 1점)</w:t>
      </w:r>
    </w:p>
    <w:p>
      <w:pPr>
        <w:spacing w:after="120" w:before="240"/>
      </w:pPr>
      <w:r>
        <w:rPr>
          <w:b/>
          <w:bCs/>
          <w:color w:val="1F3864"/>
          <w:sz w:val="25"/>
          <w:szCs w:val="25"/>
        </w:rPr>
        <w:t xml:space="preserve">■ 노인장기요양보험 홈페이지 게시 항목 점검</w:t>
      </w:r>
    </w:p>
    <w:p>
      <w:pPr>
        <w:spacing w:after="110"/>
      </w:pPr>
      <w:r>
        <w:rPr>
          <w:color w:val="C00000"/>
          <w:sz w:val="19"/>
          <w:szCs w:val="19"/>
        </w:rPr>
        <w:t xml:space="preserve">※ 반드시 노인장기요양보험 공단 홈페이지(www.longtermcare.or.kr)에 게시해야 인정되며, 기관 자체 홈페이지(카페·블로그 등) 게시는 인정하지 않습니다. 시군구 신고항목·공단 등록항목이 모두 게시되어야 인정합니다.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760"/>
        <w:gridCol w:w="1000"/>
        <w:gridCol w:w="900"/>
      </w:tblGrid>
      <w:tr>
        <w:trPr>
          <w:tblHeader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신고/등록 구분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게시 항목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게시처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확인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시군구 신고항목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주소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공단 홈페이지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시군구 신고항목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전화번호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공단 홈페이지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시군구 신고항목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인력현황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공단 홈페이지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시군구 신고항목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시설현황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공단 홈페이지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시군구 신고항목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급여종류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공단 홈페이지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공단 등록항목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장기요양급여 이용계약에 관한 사항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(계약기간·계약목적·월이용료 및 그 밖의 비용 부담액·신원인수인 권리의무·계약해제)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공단 홈페이지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공단 등록항목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시설 사진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공단 홈페이지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공단 등록항목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홈페이지 주소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공단 홈페이지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공단 등록항목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비급여대상 항목별 비용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공단 홈페이지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공단 등록항목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교통편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공단 홈페이지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공단 등록항목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주차시설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공단 홈페이지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공단 등록항목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보험가입 여부 (전문인배상책임보험 / 화재·영업배상책임보험)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공단 홈페이지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변경 시 수정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기관 정보가 변경된 경우 지체 없이 공단 홈페이지에 수정·반영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공단 홈페이지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120" w:before="240"/>
      </w:pPr>
      <w:r>
        <w:rPr>
          <w:b/>
          <w:bCs/>
          <w:color w:val="1F3864"/>
          <w:sz w:val="25"/>
          <w:szCs w:val="25"/>
        </w:rPr>
        <w:t xml:space="preserve">■ 채점 기준</w:t>
      </w:r>
    </w:p>
    <w:p>
      <w:pPr>
        <w:spacing w:after="110"/>
      </w:pPr>
      <w:r>
        <w:rPr>
          <w:b/>
          <w:bCs/>
        </w:rPr>
        <w:t xml:space="preserve">① 1점: </w:t>
      </w:r>
      <w:r>
        <w:rPr>
          <w:sz w:val="22"/>
          <w:szCs w:val="22"/>
        </w:rPr>
        <w:t xml:space="preserve">평가기준을 충족함 (위 게시 항목이 모두 게시되고, 변경사항이 반영되어 있음)</w:t>
      </w:r>
    </w:p>
    <w:p>
      <w:pPr>
        <w:spacing w:after="110"/>
      </w:pPr>
      <w:r>
        <w:rPr>
          <w:b/>
          <w:bCs/>
          <w:color w:val="555555"/>
        </w:rPr>
        <w:t xml:space="preserve">※ </w:t>
      </w:r>
      <w:r>
        <w:rPr>
          <w:color w:val="555555"/>
          <w:sz w:val="19"/>
          <w:szCs w:val="19"/>
        </w:rPr>
        <w:t xml:space="preserve">2026년 주야간보호는 단독 평가지표로 배점 1점, 단일 척도(충족/미충족)입니다. (재가급여 6종 매뉴얼의 3점·다단계 척도와 다름)</w:t>
      </w:r>
    </w:p>
    <w:p>
      <w:pPr>
        <w:spacing w:after="120" w:before="240"/>
      </w:pPr>
      <w:r>
        <w:rPr>
          <w:b/>
          <w:bCs/>
          <w:color w:val="1F3864"/>
          <w:sz w:val="25"/>
          <w:szCs w:val="25"/>
        </w:rPr>
        <w:t xml:space="preserve">■ 확인방법 유의사항 (매뉴얼)</w:t>
      </w:r>
    </w:p>
    <w:p>
      <w:pPr>
        <w:spacing w:after="110"/>
      </w:pPr>
      <w:r>
        <w:rPr>
          <w:b/>
          <w:bCs/>
        </w:rPr>
        <w:t xml:space="preserve">· </w:t>
      </w:r>
      <w:r>
        <w:rPr>
          <w:sz w:val="21"/>
          <w:szCs w:val="21"/>
        </w:rPr>
        <w:t xml:space="preserve">'장기요양급여 이용계약에 관한 사항'이란 운영규정 내 명시된 계약기간, 계약목적, 월 이용료 및 그 밖의 비용 부담액, 신원인수인의 권리·의무, 계약의 해제가 포함되어야 함.</w:t>
      </w:r>
    </w:p>
    <w:p>
      <w:pPr>
        <w:spacing w:after="110"/>
      </w:pPr>
      <w:r>
        <w:rPr>
          <w:b/>
          <w:bCs/>
        </w:rPr>
        <w:t xml:space="preserve">· </w:t>
      </w:r>
      <w:r>
        <w:rPr>
          <w:sz w:val="21"/>
          <w:szCs w:val="21"/>
        </w:rPr>
        <w:t xml:space="preserve">시군구를 통한 게시항목 중 변경내용이 수정되지 않은 경우, 시군구에 신고한 자료가 있는지 확인함.</w:t>
      </w:r>
    </w:p>
    <w:p>
      <w:pPr>
        <w:spacing w:after="110"/>
      </w:pPr>
      <w:r>
        <w:rPr>
          <w:b/>
          <w:bCs/>
        </w:rPr>
        <w:t xml:space="preserve">· </w:t>
      </w:r>
      <w:r>
        <w:rPr>
          <w:sz w:val="21"/>
          <w:szCs w:val="21"/>
        </w:rPr>
        <w:t xml:space="preserve">보험가입 여부는 전문인배상책임보험 및 화재/영업 배상책임보험을 확인함.</w:t>
      </w:r>
    </w:p>
    <w:p>
      <w:pPr>
        <w:spacing w:after="80" w:before="160"/>
      </w:pPr>
      <w:r>
        <w:rPr>
          <w:b/>
          <w:bCs/>
          <w:color w:val="555555"/>
          <w:sz w:val="19"/>
          <w:szCs w:val="19"/>
        </w:rPr>
        <w:t xml:space="preserve">※ 근거: </w:t>
      </w:r>
      <w:r>
        <w:rPr>
          <w:color w:val="555555"/>
          <w:sz w:val="19"/>
          <w:szCs w:val="19"/>
        </w:rPr>
        <w:t xml:space="preserve">「노인장기요양보험법」 제34조, 제35조의5, 같은 법 시행규칙 제15조·제26조. (2026년 주야간보호 평가매뉴얼 100~103쪽, 우측 단)</w:t>
      </w:r>
    </w:p>
    <w:p>
      <w:pPr>
        <w:spacing w:before="120"/>
      </w:pPr>
      <w:r>
        <w:rPr>
          <w:sz w:val="20"/>
          <w:szCs w:val="20"/>
        </w:rPr>
        <w:t xml:space="preserve">점검일: 2026.  .        점검자:                    (서명)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2026-07-01T04:55:15.660Z</dcterms:created>
  <dcterms:modified xsi:type="dcterms:W3CDTF">2026-07-01T04:55:15.677Z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