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실내환기 일일 점검표</w:t>
      </w:r>
    </w:p>
    <w:p>
      <w:pPr>
        <w:pBdr>
          <w:bottom w:val="single" w:color="1F4E79" w:sz="16" w:space="6"/>
        </w:pBd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데이음주간보호센터</w:t>
      </w:r>
    </w:p>
    <w:p>
      <w:pPr>
        <w:spacing w:after="40" w:before="1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■ 층(구역) : ______________          ■ 점검일자 :        년      월      일  ~        월      일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■ 환기 기준 : 1일 3회 이상, 회당 10분 이상 실시  /  환기 실시 후 해당 칸에 환기 시작시간을 기록합니다.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157"/>
        <w:gridCol w:w="1157"/>
        <w:gridCol w:w="1157"/>
        <w:gridCol w:w="1157"/>
        <w:gridCol w:w="1157"/>
        <w:gridCol w:w="1157"/>
        <w:gridCol w:w="1157"/>
      </w:tblGrid>
      <w:tr>
        <w:trPr>
          <w:tblHeader/>
          <w:trHeight w:val="5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 분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금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토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</w:t>
            </w:r>
          </w:p>
        </w:tc>
      </w:tr>
      <w:tr>
        <w:trPr>
          <w:trHeight w:val="56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날 짜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1차 환기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(환기 시작시간)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2차 환기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(환기 시작시간)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3차 환기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(환기 시작시간)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4차 환기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(환기 시작시간)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1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5차 환기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(환기 시작시간)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" w:before="2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4·5차 환기는 필요 시 추가 실시하며, 최소 1일 3회 이상은 반드시 기록합니다.</w:t>
      </w:r>
    </w:p>
    <w:p>
      <w:pPr>
        <w:spacing w:after="30" w:before="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급·배기가 가능한 기계식 환기설비를 사용하는 경우 본 점검표 비치를 생략할 수 있습니다.</w:t>
      </w:r>
    </w:p>
    <w:p>
      <w:pPr>
        <w:spacing w:after="0" w:before="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여러 층을 사용하는 경우 각 층마다 점검표를 비치·기록합니다. (점검기록 누적관리 불필요)</w:t>
      </w:r>
    </w:p>
    <w:p>
      <w:pPr>
        <w:pBdr>
          <w:top w:val="single" w:color="BFBFBF" w:sz="8" w:space="4"/>
        </w:pBdr>
        <w:spacing w:after="0" w:before="240"/>
      </w:pPr>
      <w:r>
        <w:rPr>
          <w:rFonts w:ascii="맑은 고딕" w:cs="맑은 고딕" w:eastAsia="맑은 고딕" w:hAnsi="맑은 고딕"/>
          <w:color w:val="808080"/>
          <w:sz w:val="17"/>
          <w:szCs w:val="17"/>
        </w:rPr>
        <w:t xml:space="preserve">근거: 노인장기요양기관 정기평가 지표(주야간보호9) 기준②, 실내환기 일일 점검표 예시서식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2026-07-01T04:42:14.460Z</dcterms:created>
  <dcterms:modified xsi:type="dcterms:W3CDTF">2026-07-01T04:42:14.530Z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