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采购员</w:t>
      </w:r>
    </w:p>
    <w:p>
      <w:pPr>
        <w:ind w:firstLine="420" w:firstLineChars="0"/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要掌握医疗器械产品质量管理方面的法规、规章及有关规定，签定合同时一定要注明质量要求，所进产品必须是近批号产品，产品注册证、批号、注册商标齐全。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[ microsoft ya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i Baiti">
    <w:panose1 w:val="03000500000000000000"/>
    <w:charset w:val="00"/>
    <w:family w:val="auto"/>
    <w:pitch w:val="default"/>
    <w:sig w:usb0="80000003" w:usb1="00010402" w:usb2="00080002" w:usb3="00000000" w:csb0="0000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037897"/>
    <w:rsid w:val="14330176"/>
    <w:rsid w:val="231D1F1A"/>
    <w:rsid w:val="431435D3"/>
    <w:rsid w:val="497A7F86"/>
    <w:rsid w:val="5A5A628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" w:hAnsi="仿宋" w:cs="仿宋" w:eastAsiaTheme="minorEastAsia"/>
      <w:color w:val="auto"/>
      <w:kern w:val="2"/>
      <w:sz w:val="28"/>
      <w:szCs w:val="28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Administrator</cp:lastModifiedBy>
  <dcterms:modified xsi:type="dcterms:W3CDTF">2017-02-06T06:03:30Z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