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2D64" w14:textId="77777777" w:rsidR="00462CB7" w:rsidRDefault="00462CB7" w:rsidP="00462CB7">
      <w:pPr>
        <w:pStyle w:val="Title"/>
      </w:pPr>
      <w:r>
        <w:t>Comparing Clinical Trial Datasets for COVID-19 and Hepatitis A</w:t>
      </w:r>
    </w:p>
    <w:p w14:paraId="529B27AC" w14:textId="77777777" w:rsidR="00462CB7" w:rsidRDefault="00462CB7" w:rsidP="00462CB7">
      <w:pPr>
        <w:pStyle w:val="Author"/>
      </w:pPr>
      <w:r>
        <w:t>Holly Bennett, Yoon Choi, Cami Reittinger</w:t>
      </w:r>
    </w:p>
    <w:p w14:paraId="254DE33A" w14:textId="77777777" w:rsidR="00462CB7" w:rsidRDefault="00462CB7" w:rsidP="00462CB7">
      <w:pPr>
        <w:pStyle w:val="Heading1"/>
        <w:numPr>
          <w:ilvl w:val="0"/>
          <w:numId w:val="4"/>
        </w:numPr>
        <w:spacing w:before="400" w:after="240"/>
        <w:contextualSpacing/>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4A8A656" w14:textId="53C95694" w:rsidR="00462CB7" w:rsidRDefault="00462CB7" w:rsidP="00462CB7">
      <w:pPr>
        <w:pStyle w:val="Heading1"/>
        <w:numPr>
          <w:ilvl w:val="0"/>
          <w:numId w:val="4"/>
        </w:numPr>
        <w:spacing w:before="400" w:after="240"/>
        <w:contextualSpacing/>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w:t>
      </w:r>
      <w:r w:rsidRPr="00994CAF">
        <w:rPr>
          <w:highlight w:val="yellow"/>
        </w:rPr>
        <w:t xml:space="preserve">json, </w:t>
      </w:r>
      <w:proofErr w:type="spellStart"/>
      <w:r w:rsidRPr="00994CAF">
        <w:rPr>
          <w:highlight w:val="yellow"/>
        </w:rPr>
        <w:t>os</w:t>
      </w:r>
      <w:proofErr w:type="spellEnd"/>
      <w:r w:rsidRPr="00994CAF">
        <w:rPr>
          <w:highlight w:val="yellow"/>
        </w:rPr>
        <w:t xml:space="preserve">, and </w:t>
      </w:r>
      <w:proofErr w:type="spellStart"/>
      <w:r w:rsidRPr="00994CAF">
        <w:rPr>
          <w:highlight w:val="yellow"/>
        </w:rP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w:t>
      </w:r>
      <w:r w:rsidR="00AF3B5F">
        <w:lastRenderedPageBreak/>
        <w:t xml:space="preserve">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448519EF" w14:textId="77777777" w:rsidR="00462CB7" w:rsidRDefault="00462CB7" w:rsidP="00462CB7">
      <w:pPr>
        <w:pStyle w:val="Heading1"/>
      </w:pPr>
      <w:r>
        <w:t>2.1 Section A:</w:t>
      </w:r>
    </w:p>
    <w:p w14:paraId="46828283" w14:textId="7DF3AB46"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w:t>
      </w:r>
      <w:r w:rsidR="00994CAF">
        <w:t xml:space="preserve">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07FEA7F3"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w:t>
      </w:r>
      <w:r>
        <w:lastRenderedPageBreak/>
        <w:t xml:space="preserve">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BF3E620" w14:textId="3A1C3126" w:rsidR="00462CB7" w:rsidRDefault="00462CB7" w:rsidP="00462CB7">
      <w:pPr>
        <w:pStyle w:val="Heading1"/>
      </w:pPr>
      <w:r>
        <w:t>2.2 Section B:</w:t>
      </w:r>
    </w:p>
    <w:p w14:paraId="3833EF1C" w14:textId="760A6EE8" w:rsidR="00726F8E" w:rsidRDefault="00167F1B" w:rsidP="00726F8E">
      <w:pPr>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67F1B">
      <w:pPr>
        <w:rPr>
          <w:rFonts w:cstheme="minorHAnsi"/>
        </w:rPr>
      </w:pPr>
    </w:p>
    <w:p w14:paraId="66965844" w14:textId="7AD8FF95" w:rsidR="00462CB7" w:rsidRDefault="00462CB7" w:rsidP="00462CB7">
      <w:pPr>
        <w:pStyle w:val="Heading1"/>
      </w:pPr>
      <w:r>
        <w:lastRenderedPageBreak/>
        <w:t>2.3 Section C:</w:t>
      </w:r>
    </w:p>
    <w:p w14:paraId="074FFF9D" w14:textId="0B9444CA" w:rsidR="0063531B" w:rsidRDefault="002E08C1" w:rsidP="00861AC9">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861AC9"/>
    <w:p w14:paraId="726DDB7E" w14:textId="7B8A52DA" w:rsidR="00EC6608" w:rsidRDefault="00EC6608" w:rsidP="00861AC9"/>
    <w:p w14:paraId="04996C8F" w14:textId="03E8A435" w:rsidR="00EC6608" w:rsidRDefault="00EC6608" w:rsidP="00861AC9">
      <w:r>
        <w:t>------</w:t>
      </w:r>
    </w:p>
    <w:p w14:paraId="0EF041B9" w14:textId="77777777" w:rsidR="00EC6608" w:rsidRDefault="00EC6608" w:rsidP="00861AC9"/>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3CDB813" w14:textId="77777777" w:rsidR="00C4338B" w:rsidRDefault="00C4338B" w:rsidP="0063531B"/>
    <w:p w14:paraId="1FF03F48" w14:textId="77777777" w:rsidR="00462CB7" w:rsidRDefault="00462CB7" w:rsidP="00462CB7">
      <w:pPr>
        <w:pStyle w:val="Heading1"/>
        <w:numPr>
          <w:ilvl w:val="0"/>
          <w:numId w:val="4"/>
        </w:numPr>
        <w:spacing w:before="400" w:after="240"/>
        <w:contextualSpacing/>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49086AC8" w14:textId="4BCECBAE" w:rsidR="00462CB7" w:rsidRDefault="00462CB7" w:rsidP="00462CB7">
      <w:pPr>
        <w:pStyle w:val="Heading1"/>
      </w:pPr>
      <w:r>
        <w:t>3.1 Section A Results:</w:t>
      </w:r>
    </w:p>
    <w:p w14:paraId="4E2BD4CC" w14:textId="41087754" w:rsidR="0063531B" w:rsidRDefault="00462CB7" w:rsidP="00462CB7">
      <w:pPr>
        <w:pStyle w:val="Heading2"/>
        <w:rPr>
          <w:rStyle w:val="SubtleEmphasis"/>
        </w:rPr>
      </w:pPr>
      <w:r>
        <w:rPr>
          <w:rStyle w:val="SubtleEmphasis"/>
        </w:rPr>
        <w:t xml:space="preserve">3.1.1 </w:t>
      </w:r>
      <w:r w:rsidR="0063531B"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w:t>
      </w:r>
      <w:r w:rsidRPr="00994CAF">
        <w:rPr>
          <w:highlight w:val="yellow"/>
        </w:rPr>
        <w:t>phase</w:t>
      </w:r>
      <w:r>
        <w:t xml:space="preserve"> number increases, so does the number of participants and the information obtained about the drug being tested. </w:t>
      </w:r>
    </w:p>
    <w:p w14:paraId="69668D3D" w14:textId="18C91498" w:rsidR="00C90D7F" w:rsidRPr="00C90D7F" w:rsidRDefault="00AF3B5F" w:rsidP="00C90D7F">
      <w:pPr>
        <w:ind w:firstLine="720"/>
        <w:rPr>
          <w:rStyle w:val="SubtleEmphasis"/>
          <w:i w:val="0"/>
          <w:iCs w:val="0"/>
          <w:color w:val="auto"/>
        </w:rPr>
      </w:pPr>
      <w:r>
        <w:t xml:space="preserve">The majority of COVID-19 trials had no phase information provided, while the majority of Hepatitis A trials were in phase 4 at the time of analysis. </w:t>
      </w:r>
      <w:r w:rsidR="00553856">
        <w:t xml:space="preserve">It is most likely the case that trials with ‘None’ as the current phase </w:t>
      </w:r>
      <w:r w:rsidR="00994CAF">
        <w:t>were</w:t>
      </w:r>
      <w:r w:rsidR="00553856">
        <w:t xml:space="preserv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62C5D0DD" w14:textId="466040B6" w:rsidR="00C90D7F" w:rsidRDefault="00C90D7F" w:rsidP="00797491">
      <w:pPr>
        <w:rPr>
          <w:rStyle w:val="SubtleEmphasis"/>
          <w:i w:val="0"/>
          <w:iCs w:val="0"/>
          <w:color w:val="000000" w:themeColor="text1"/>
        </w:rPr>
      </w:pPr>
      <w:r>
        <w:rPr>
          <w:noProof/>
        </w:rPr>
        <w:lastRenderedPageBreak/>
        <w:drawing>
          <wp:inline distT="0" distB="0" distL="0" distR="0" wp14:anchorId="691AA9E2" wp14:editId="215527B9">
            <wp:extent cx="5937813" cy="1712595"/>
            <wp:effectExtent l="0" t="0" r="6350" b="14605"/>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9F71F0" w14:textId="77777777" w:rsidR="00C90D7F" w:rsidRDefault="00C90D7F" w:rsidP="00797491">
      <w:pPr>
        <w:rPr>
          <w:rStyle w:val="SubtleEmphasis"/>
          <w:i w:val="0"/>
          <w:iCs w:val="0"/>
          <w:color w:val="000000" w:themeColor="text1"/>
        </w:rPr>
      </w:pPr>
    </w:p>
    <w:p w14:paraId="2B6F7C2C" w14:textId="00027A3F" w:rsidR="00C90D7F" w:rsidRDefault="00462CB7" w:rsidP="00462CB7">
      <w:pPr>
        <w:pStyle w:val="Heading2"/>
        <w:rPr>
          <w:rStyle w:val="SubtleEmphasis"/>
        </w:rPr>
      </w:pPr>
      <w:r>
        <w:rPr>
          <w:rStyle w:val="SubtleEmphasis"/>
        </w:rPr>
        <w:t>3.1.2 Activity Status</w:t>
      </w:r>
    </w:p>
    <w:p w14:paraId="67B610E3" w14:textId="77777777" w:rsidR="00C90D7F" w:rsidRDefault="00C90D7F" w:rsidP="00797491">
      <w:pPr>
        <w:rPr>
          <w:rStyle w:val="SubtleEmphasis"/>
          <w:i w:val="0"/>
          <w:iCs w:val="0"/>
          <w:color w:val="000000" w:themeColor="text1"/>
        </w:rPr>
      </w:pPr>
    </w:p>
    <w:p w14:paraId="5BEB403E" w14:textId="17CF744F" w:rsidR="00AF3B5F" w:rsidRPr="00797491" w:rsidRDefault="0058023A" w:rsidP="00C90D7F">
      <w:pPr>
        <w:ind w:firstLine="720"/>
        <w:rPr>
          <w:rStyle w:val="SubtleEmphasis"/>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 xml:space="preserve">(31%)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As mentioned earlier, COVID-19 trials are up and coming as this particular strain of the disease was first seen in 2019, so newer trials align with more open trials. </w:t>
      </w:r>
    </w:p>
    <w:p w14:paraId="434B8A31" w14:textId="0E1CEC89" w:rsidR="00177E56" w:rsidRPr="00177E56" w:rsidRDefault="00177E56" w:rsidP="00177E56">
      <w:pPr>
        <w:ind w:firstLine="720"/>
        <w:rPr>
          <w:color w:val="000000" w:themeColor="text1"/>
        </w:rPr>
      </w:pPr>
      <w:r w:rsidRPr="00177E56">
        <w:rPr>
          <w:color w:val="000000" w:themeColor="text1"/>
        </w:rPr>
        <w:t>Other than just open or not open, a trial can be further classified based on its recruiting status. Hepatitis A ha</w:t>
      </w:r>
      <w:r w:rsidR="00994CAF">
        <w:rPr>
          <w:color w:val="000000" w:themeColor="text1"/>
        </w:rPr>
        <w:t>d</w:t>
      </w:r>
      <w:r w:rsidRPr="00177E56">
        <w:rPr>
          <w:color w:val="000000" w:themeColor="text1"/>
        </w:rPr>
        <w:t xml:space="preserve"> a miniscule one singular trial that </w:t>
      </w:r>
      <w:r w:rsidR="00994CAF">
        <w:rPr>
          <w:color w:val="000000" w:themeColor="text1"/>
        </w:rPr>
        <w:t>wa</w:t>
      </w:r>
      <w:r w:rsidRPr="00177E56">
        <w:rPr>
          <w:color w:val="000000" w:themeColor="text1"/>
        </w:rPr>
        <w:t>s open and recruiting, while COVID-19 ha</w:t>
      </w:r>
      <w:r w:rsidR="00994CAF">
        <w:rPr>
          <w:color w:val="000000" w:themeColor="text1"/>
        </w:rPr>
        <w:t>d</w:t>
      </w:r>
      <w:r w:rsidRPr="00177E56">
        <w:rPr>
          <w:color w:val="000000" w:themeColor="text1"/>
        </w:rPr>
        <w:t xml:space="preserve"> 797 trials that </w:t>
      </w:r>
      <w:r w:rsidR="00994CAF">
        <w:rPr>
          <w:color w:val="000000" w:themeColor="text1"/>
        </w:rPr>
        <w:t>we</w:t>
      </w:r>
      <w:r w:rsidRPr="00177E56">
        <w:rPr>
          <w:color w:val="000000" w:themeColor="text1"/>
        </w:rPr>
        <w:t>re open and recruiting patient</w:t>
      </w:r>
      <w:r w:rsidR="00994CAF">
        <w:rPr>
          <w:color w:val="000000" w:themeColor="text1"/>
        </w:rPr>
        <w:t>s</w:t>
      </w:r>
      <w:r w:rsidRPr="00177E56">
        <w:rPr>
          <w:color w:val="000000" w:themeColor="text1"/>
        </w:rPr>
        <w:t xml:space="preserve">.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47ACFD95">
            <wp:extent cx="5867400" cy="3343275"/>
            <wp:effectExtent l="0" t="0" r="0" b="9525"/>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18E79464">
            <wp:extent cx="5895975" cy="2705100"/>
            <wp:effectExtent l="0" t="0" r="9525" b="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6E31214B">
            <wp:extent cx="5895975" cy="2800350"/>
            <wp:effectExtent l="0" t="0" r="9525" b="0"/>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1285831C" w14:textId="44530101" w:rsidR="00462CB7" w:rsidRDefault="00462CB7" w:rsidP="00462CB7">
      <w:pPr>
        <w:pStyle w:val="Heading2"/>
        <w:rPr>
          <w:rStyle w:val="SubtleEmphasis"/>
        </w:rPr>
      </w:pPr>
      <w:r>
        <w:rPr>
          <w:rStyle w:val="SubtleEmphasis"/>
        </w:rPr>
        <w:t>3.1.3 Type of Trial</w:t>
      </w:r>
    </w:p>
    <w:p w14:paraId="121E3F76" w14:textId="2D7557C7" w:rsidR="00177E56" w:rsidRDefault="00177E56" w:rsidP="0063531B">
      <w:pPr>
        <w:rPr>
          <w:rStyle w:val="SubtleEmphasis"/>
        </w:rPr>
      </w:pPr>
    </w:p>
    <w:p w14:paraId="09B532D4" w14:textId="5B9273C1"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 xml:space="preserve">Each of these types of trials include differing design aspects, which was made evident when looking at the design aspects. Despite the difference in total trials conducted for both Hepatitis A and COVID-19, the proportional breakdown for trial types </w:t>
      </w:r>
      <w:r w:rsidR="00994CAF">
        <w:rPr>
          <w:rStyle w:val="SubtleEmphasis"/>
          <w:i w:val="0"/>
          <w:iCs w:val="0"/>
          <w:color w:val="000000" w:themeColor="text1"/>
        </w:rPr>
        <w:t>wa</w:t>
      </w:r>
      <w:r w:rsidR="006E3BE7">
        <w:rPr>
          <w:rStyle w:val="SubtleEmphasis"/>
          <w:i w:val="0"/>
          <w:iCs w:val="0"/>
          <w:color w:val="000000" w:themeColor="text1"/>
        </w:rPr>
        <w:t>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lastRenderedPageBreak/>
        <w:drawing>
          <wp:inline distT="0" distB="0" distL="0" distR="0" wp14:anchorId="7ACEC7B3" wp14:editId="2BE919A9">
            <wp:extent cx="5876925" cy="2543175"/>
            <wp:effectExtent l="0" t="0" r="9525" b="9525"/>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FD930E" w14:textId="77777777" w:rsidR="00AC5580" w:rsidRDefault="00AC5580" w:rsidP="0063531B">
      <w:pPr>
        <w:rPr>
          <w:rStyle w:val="SubtleEmphasis"/>
        </w:rPr>
      </w:pPr>
    </w:p>
    <w:p w14:paraId="3F5A61B3" w14:textId="06D828E0" w:rsidR="00462CB7" w:rsidRDefault="00462CB7" w:rsidP="00462CB7">
      <w:pPr>
        <w:pStyle w:val="Heading2"/>
        <w:rPr>
          <w:rStyle w:val="SubtleEmphasis"/>
        </w:rPr>
      </w:pPr>
      <w:r>
        <w:rPr>
          <w:rStyle w:val="SubtleEmphasis"/>
        </w:rPr>
        <w:t>3.1.4 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694BE9E0">
            <wp:extent cx="5924550" cy="2428875"/>
            <wp:effectExtent l="0" t="0" r="0"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drawing>
          <wp:inline distT="0" distB="0" distL="0" distR="0" wp14:anchorId="5EF136FE" wp14:editId="1CE1ECAE">
            <wp:extent cx="5895975" cy="2409825"/>
            <wp:effectExtent l="0" t="0" r="9525" b="9525"/>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200EA129" w:rsidR="00C4338B" w:rsidRDefault="00622005" w:rsidP="0063531B">
      <w:r>
        <w:lastRenderedPageBreak/>
        <w:tab/>
        <w:t xml:space="preserve">Eligibility criteria is an important aspect in clinical trials as it lets potential participants and other researchers know who the object of the trial is. While there are more </w:t>
      </w:r>
      <w:r w:rsidR="00994CAF">
        <w:t>criteria</w:t>
      </w:r>
      <w:r>
        <w:t xml:space="preserve">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0611C676" w14:textId="14FA982F" w:rsidR="00C4338B"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398BFBD" w14:textId="77777777" w:rsidR="00C4338B" w:rsidRDefault="00C4338B" w:rsidP="0063531B"/>
    <w:p w14:paraId="2DA4D35F" w14:textId="6E5BF8CE" w:rsidR="00462CB7" w:rsidRDefault="00462CB7" w:rsidP="00462CB7">
      <w:pPr>
        <w:pStyle w:val="Heading2"/>
        <w:rPr>
          <w:rStyle w:val="SubtleEmphasis"/>
        </w:rPr>
      </w:pPr>
      <w:r>
        <w:rPr>
          <w:rStyle w:val="SubtleEmphasis"/>
        </w:rPr>
        <w:t>3.1.5 Result Availability</w:t>
      </w:r>
    </w:p>
    <w:p w14:paraId="71CBBE1F" w14:textId="3049A240" w:rsidR="0058662E" w:rsidRDefault="0058662E" w:rsidP="0063531B">
      <w:pPr>
        <w:rPr>
          <w:rStyle w:val="SubtleEmphasis"/>
        </w:rPr>
      </w:pPr>
    </w:p>
    <w:p w14:paraId="13E235D0" w14:textId="03835724" w:rsidR="0058662E" w:rsidRPr="006E6078" w:rsidRDefault="0058662E" w:rsidP="0063531B">
      <w:pPr>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w:t>
      </w:r>
      <w:r w:rsidRPr="006E6078">
        <w:rPr>
          <w:rStyle w:val="SubtleEmphasis"/>
          <w:i w:val="0"/>
          <w:iCs w:val="0"/>
          <w:color w:val="000000" w:themeColor="text1"/>
          <w:highlight w:val="green"/>
        </w:rPr>
        <w:t>FIGURE??)</w:t>
      </w:r>
      <w:r w:rsidRPr="006E6078">
        <w:rPr>
          <w:rStyle w:val="SubtleEmphasis"/>
          <w:i w:val="0"/>
          <w:iCs w:val="0"/>
          <w:color w:val="000000" w:themeColor="text1"/>
        </w:rPr>
        <w:t xml:space="preserve"> in the activity status section, Hepatitis A had significantly more trials that were completed than 37%, meaning some of the trials were finished but results </w:t>
      </w:r>
      <w:r w:rsidR="00D2009A" w:rsidRPr="006E6078">
        <w:rPr>
          <w:rStyle w:val="SubtleEmphasis"/>
          <w:i w:val="0"/>
          <w:iCs w:val="0"/>
          <w:color w:val="000000" w:themeColor="text1"/>
        </w:rPr>
        <w:t>were</w:t>
      </w:r>
      <w:r w:rsidRPr="006E6078">
        <w:rPr>
          <w:rStyle w:val="SubtleEmphasis"/>
          <w:i w:val="0"/>
          <w:iCs w:val="0"/>
          <w:color w:val="000000" w:themeColor="text1"/>
        </w:rPr>
        <w:t xml:space="preserve"> not available. </w:t>
      </w:r>
      <w:r w:rsidR="00D2009A" w:rsidRPr="006E6078">
        <w:rPr>
          <w:rStyle w:val="SubtleEmphasis"/>
          <w:b/>
          <w:bCs/>
          <w:i w:val="0"/>
          <w:iCs w:val="0"/>
          <w:color w:val="000000" w:themeColor="text1"/>
          <w:highlight w:val="yellow"/>
        </w:rPr>
        <w:t>According to ClinicalTrials.gov</w:t>
      </w:r>
      <w:r w:rsidR="00D2009A" w:rsidRPr="006E6078">
        <w:rPr>
          <w:rStyle w:val="SubtleEmphasis"/>
          <w:i w:val="0"/>
          <w:iCs w:val="0"/>
          <w:color w:val="000000" w:themeColor="text1"/>
        </w:rPr>
        <w:t xml:space="preserve">, potential reasonings behind no results available 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drawing>
          <wp:inline distT="0" distB="0" distL="0" distR="0" wp14:anchorId="173B0FE3" wp14:editId="74BFE1AB">
            <wp:extent cx="5838825" cy="2638425"/>
            <wp:effectExtent l="0" t="0" r="9525" b="9525"/>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2A4052" w14:textId="77777777" w:rsidR="00C4338B" w:rsidRDefault="00C4338B" w:rsidP="0063531B">
      <w:pPr>
        <w:rPr>
          <w:rStyle w:val="SubtleEmphasis"/>
        </w:rPr>
      </w:pPr>
    </w:p>
    <w:p w14:paraId="691C5942" w14:textId="6CACFBB8" w:rsidR="00462CB7" w:rsidRDefault="00462CB7" w:rsidP="00462CB7">
      <w:pPr>
        <w:pStyle w:val="Heading2"/>
        <w:rPr>
          <w:rStyle w:val="SubtleEmphasis"/>
        </w:rPr>
      </w:pPr>
      <w:r>
        <w:rPr>
          <w:rStyle w:val="SubtleEmphasis"/>
        </w:rPr>
        <w:lastRenderedPageBreak/>
        <w:t>3.1.6 Design Aspects</w:t>
      </w:r>
    </w:p>
    <w:p w14:paraId="4341A7F9" w14:textId="77777777" w:rsidR="006E6078" w:rsidRPr="006E6078" w:rsidRDefault="006E6078" w:rsidP="006E6078"/>
    <w:p w14:paraId="30AF6F6A" w14:textId="4A2FD9AE" w:rsidR="004C3316" w:rsidRPr="006E6078" w:rsidRDefault="004C3316" w:rsidP="004C3316">
      <w:pPr>
        <w:ind w:firstLine="720"/>
        <w:rPr>
          <w:rStyle w:val="SubtleEmphasis"/>
          <w:i w:val="0"/>
          <w:iCs w:val="0"/>
          <w:color w:val="000000" w:themeColor="text1"/>
        </w:rPr>
      </w:pPr>
      <w:r w:rsidRPr="006E6078">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63B909CD" w14:textId="3979B20A" w:rsidR="00462CB7" w:rsidRDefault="00462CB7" w:rsidP="00462CB7">
      <w:pPr>
        <w:pStyle w:val="Heading3"/>
        <w:rPr>
          <w:rStyle w:val="SubtleEmphasis"/>
        </w:rPr>
      </w:pPr>
      <w:r>
        <w:rPr>
          <w:rStyle w:val="SubtleEmphasis"/>
        </w:rPr>
        <w:t>3.1.6.1 Observational</w:t>
      </w:r>
    </w:p>
    <w:p w14:paraId="219FB2EE" w14:textId="06A0228A" w:rsidR="004C3316" w:rsidRDefault="004C3316" w:rsidP="0063531B">
      <w:pPr>
        <w:rPr>
          <w:rStyle w:val="SubtleEmphasis"/>
        </w:rPr>
      </w:pPr>
    </w:p>
    <w:p w14:paraId="4859C5F3" w14:textId="4729EBCD" w:rsidR="004C3316" w:rsidRPr="006E6078" w:rsidRDefault="004C3316" w:rsidP="0063531B">
      <w:pPr>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sidRPr="006E6078">
        <w:rPr>
          <w:rStyle w:val="SubtleEmphasis"/>
          <w:i w:val="0"/>
          <w:iCs w:val="0"/>
          <w:color w:val="000000" w:themeColor="text1"/>
        </w:rPr>
        <w:t xml:space="preserve">look at data at a defined time period.  </w:t>
      </w:r>
    </w:p>
    <w:p w14:paraId="2E4801CC" w14:textId="3626DD03" w:rsidR="00CF4B09" w:rsidRPr="006E6078" w:rsidRDefault="00CF4B09" w:rsidP="0063531B">
      <w:pPr>
        <w:rPr>
          <w:rStyle w:val="SubtleEmphasis"/>
          <w:i w:val="0"/>
          <w:iCs w:val="0"/>
          <w:color w:val="000000" w:themeColor="text1"/>
        </w:rPr>
      </w:pPr>
      <w:r w:rsidRPr="006E6078">
        <w:rPr>
          <w:rStyle w:val="SubtleEmphasis"/>
          <w:i w:val="0"/>
          <w:iCs w:val="0"/>
          <w:color w:val="000000" w:themeColor="text1"/>
        </w:rPr>
        <w:tab/>
        <w:t xml:space="preserve">For both conditions, a prospective time perspective </w:t>
      </w:r>
      <w:r w:rsidR="006E6078" w:rsidRPr="006E6078">
        <w:rPr>
          <w:rStyle w:val="SubtleEmphasis"/>
          <w:i w:val="0"/>
          <w:iCs w:val="0"/>
          <w:color w:val="000000" w:themeColor="text1"/>
        </w:rPr>
        <w:t>wa</w:t>
      </w:r>
      <w:r w:rsidRPr="006E6078">
        <w:rPr>
          <w:rStyle w:val="SubtleEmphasis"/>
          <w:i w:val="0"/>
          <w:iCs w:val="0"/>
          <w:color w:val="000000" w:themeColor="text1"/>
        </w:rPr>
        <w:t>s the most common. Hepatitis A ha</w:t>
      </w:r>
      <w:r w:rsidR="006E6078" w:rsidRPr="006E6078">
        <w:rPr>
          <w:rStyle w:val="SubtleEmphasis"/>
          <w:i w:val="0"/>
          <w:iCs w:val="0"/>
          <w:color w:val="000000" w:themeColor="text1"/>
        </w:rPr>
        <w:t>d</w:t>
      </w:r>
      <w:r w:rsidRPr="006E6078">
        <w:rPr>
          <w:rStyle w:val="SubtleEmphasis"/>
          <w:i w:val="0"/>
          <w:iCs w:val="0"/>
          <w:color w:val="000000" w:themeColor="text1"/>
        </w:rPr>
        <w:t xml:space="preserve"> no retrospective studies, while COVID-19 ha</w:t>
      </w:r>
      <w:r w:rsidR="006E6078" w:rsidRPr="006E6078">
        <w:rPr>
          <w:rStyle w:val="SubtleEmphasis"/>
          <w:i w:val="0"/>
          <w:iCs w:val="0"/>
          <w:color w:val="000000" w:themeColor="text1"/>
        </w:rPr>
        <w:t>d</w:t>
      </w:r>
      <w:r w:rsidRPr="006E6078">
        <w:rPr>
          <w:rStyle w:val="SubtleEmphasis"/>
          <w:i w:val="0"/>
          <w:iCs w:val="0"/>
          <w:color w:val="000000" w:themeColor="text1"/>
        </w:rPr>
        <w:t xml:space="preserve"> 18% of its trials fall under this category. Understanding exposure and risk for a new disease strain like COVID-19 is an important part in determining how to respond to a disease outbreak. As such, it makes sense that COVID trials includ</w:t>
      </w:r>
      <w:r w:rsidR="006E6078" w:rsidRPr="006E6078">
        <w:rPr>
          <w:rStyle w:val="SubtleEmphasis"/>
          <w:i w:val="0"/>
          <w:iCs w:val="0"/>
          <w:color w:val="000000" w:themeColor="text1"/>
        </w:rPr>
        <w:t>ed</w:t>
      </w:r>
      <w:r w:rsidRPr="006E6078">
        <w:rPr>
          <w:rStyle w:val="SubtleEmphasis"/>
          <w:i w:val="0"/>
          <w:iCs w:val="0"/>
          <w:color w:val="000000" w:themeColor="text1"/>
        </w:rPr>
        <w:t xml:space="preserve"> some retrospective trials. </w:t>
      </w:r>
    </w:p>
    <w:p w14:paraId="12B949F2" w14:textId="4309D79A" w:rsidR="0063531B" w:rsidRDefault="00C823C7" w:rsidP="0063531B">
      <w:r>
        <w:rPr>
          <w:noProof/>
        </w:rPr>
        <w:drawing>
          <wp:inline distT="0" distB="0" distL="0" distR="0" wp14:anchorId="6BA10496" wp14:editId="38FBD334">
            <wp:extent cx="5924550" cy="2152650"/>
            <wp:effectExtent l="0" t="0" r="0" b="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0E9F97FD"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r w:rsidR="00C90D7F">
        <w:t>observational</w:t>
      </w:r>
      <w:r w:rsidR="00B200B5">
        <w:t xml:space="preserve"> studies ,analyzing the model proportions against that of COVID-19 is not very accurate. However, both ha</w:t>
      </w:r>
      <w:r w:rsidR="006E6078">
        <w:t>d</w:t>
      </w:r>
      <w:r w:rsidR="00B200B5">
        <w:t xml:space="preserve"> the same majority model of cohort, which is a study design that studies a group for biomedical outcomes. The only other remaining model seen in Hepatitis A trials </w:t>
      </w:r>
      <w:r w:rsidR="006E6078">
        <w:t>wa</w:t>
      </w:r>
      <w:r w:rsidR="00B200B5">
        <w:t xml:space="preserve">s case-only, which includes only patients with the condition being studied. </w:t>
      </w:r>
    </w:p>
    <w:p w14:paraId="70092F73" w14:textId="43F2D812" w:rsidR="00523F40" w:rsidRDefault="001F28C2" w:rsidP="0063531B">
      <w:r>
        <w:rPr>
          <w:noProof/>
        </w:rPr>
        <w:lastRenderedPageBreak/>
        <w:drawing>
          <wp:inline distT="0" distB="0" distL="0" distR="0" wp14:anchorId="56580BB8" wp14:editId="3FC9B546">
            <wp:extent cx="5943600" cy="2733675"/>
            <wp:effectExtent l="0" t="0" r="0" b="9525"/>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drawing>
          <wp:inline distT="0" distB="0" distL="0" distR="0" wp14:anchorId="02A342A1" wp14:editId="123FABA0">
            <wp:extent cx="5943600" cy="2514600"/>
            <wp:effectExtent l="0" t="0" r="0" b="0"/>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B00007" w14:textId="7FA23347" w:rsidR="00462CB7" w:rsidRDefault="00462CB7" w:rsidP="00462CB7">
      <w:pPr>
        <w:pStyle w:val="Heading3"/>
        <w:rPr>
          <w:rStyle w:val="SubtleEmphasis"/>
        </w:rPr>
      </w:pPr>
      <w:r>
        <w:rPr>
          <w:rStyle w:val="SubtleEmphasis"/>
        </w:rPr>
        <w:t>3.1.6.2 Interventional</w:t>
      </w:r>
    </w:p>
    <w:p w14:paraId="158456AC" w14:textId="10FDB903" w:rsidR="005B0D73" w:rsidRDefault="005B0D73" w:rsidP="0063531B"/>
    <w:p w14:paraId="70AF683A" w14:textId="250A5405" w:rsidR="005B0D73" w:rsidRPr="006E6078" w:rsidRDefault="005B0D73" w:rsidP="0063531B">
      <w:pPr>
        <w:rPr>
          <w:color w:val="000000" w:themeColor="text1"/>
        </w:rPr>
      </w:pPr>
      <w:r>
        <w:tab/>
      </w:r>
      <w:r w:rsidRPr="006E6078">
        <w:rPr>
          <w:color w:val="000000" w:themeColor="text1"/>
        </w:rPr>
        <w:t xml:space="preserve">For interventional models, we first looked at the primary purpose. </w:t>
      </w:r>
      <w:r w:rsidR="007230B5" w:rsidRPr="006E6078">
        <w:rPr>
          <w:color w:val="000000" w:themeColor="text1"/>
        </w:rPr>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4151EEB7" w:rsidR="007230B5" w:rsidRPr="006E6078" w:rsidRDefault="007230B5" w:rsidP="0063531B">
      <w:pPr>
        <w:rPr>
          <w:color w:val="000000" w:themeColor="text1"/>
        </w:rPr>
      </w:pPr>
      <w:r w:rsidRPr="006E6078">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t>
      </w:r>
      <w:r w:rsidR="006E6078">
        <w:rPr>
          <w:color w:val="000000" w:themeColor="text1"/>
        </w:rPr>
        <w:t>we</w:t>
      </w:r>
      <w:r w:rsidRPr="006E6078">
        <w:rPr>
          <w:color w:val="000000" w:themeColor="text1"/>
        </w:rPr>
        <w:t xml:space="preserve">re fairly evenly distributed amongst single, double, triple, and quadruple masking. These strategies define the number of parties who are blinded. Some trials only mask the investigators, while others mask </w:t>
      </w:r>
      <w:r w:rsidRPr="006E6078">
        <w:rPr>
          <w:color w:val="000000" w:themeColor="text1"/>
        </w:rPr>
        <w:lastRenderedPageBreak/>
        <w:t xml:space="preserve">everyone involved. Overall, it can be seen that the most popular interventional masking strategy </w:t>
      </w:r>
      <w:r w:rsidR="006E6078">
        <w:rPr>
          <w:color w:val="000000" w:themeColor="text1"/>
        </w:rPr>
        <w:t>wa</w:t>
      </w:r>
      <w:r w:rsidRPr="006E6078">
        <w:rPr>
          <w:color w:val="000000" w:themeColor="text1"/>
        </w:rPr>
        <w:t xml:space="preserve">s an open label for COVID-19 and Hepatitis A. </w:t>
      </w:r>
    </w:p>
    <w:p w14:paraId="7F8B8BD6" w14:textId="09FF92D0" w:rsidR="007230B5" w:rsidRPr="006E6078" w:rsidRDefault="007230B5" w:rsidP="0063531B">
      <w:pPr>
        <w:rPr>
          <w:color w:val="000000" w:themeColor="text1"/>
        </w:rPr>
      </w:pPr>
      <w:r w:rsidRPr="006E6078">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rsidRPr="006E6078">
        <w:rPr>
          <w:color w:val="000000" w:themeColor="text1"/>
        </w:rPr>
        <w:t xml:space="preserve">assigned to each allocation type </w:t>
      </w:r>
      <w:r w:rsidR="006E6078">
        <w:rPr>
          <w:color w:val="000000" w:themeColor="text1"/>
        </w:rPr>
        <w:t>wa</w:t>
      </w:r>
      <w:r w:rsidR="008256AC" w:rsidRPr="006E6078">
        <w:rPr>
          <w:color w:val="000000" w:themeColor="text1"/>
        </w:rPr>
        <w:t xml:space="preserve">s very similar, with the majority being randomized. </w:t>
      </w:r>
    </w:p>
    <w:p w14:paraId="2FD4AED4" w14:textId="771F8E10" w:rsidR="001F28C2" w:rsidRDefault="001F28C2" w:rsidP="0063531B">
      <w:r>
        <w:rPr>
          <w:noProof/>
        </w:rPr>
        <w:drawing>
          <wp:inline distT="0" distB="0" distL="0" distR="0" wp14:anchorId="1099E04B" wp14:editId="5A9F30D7">
            <wp:extent cx="5924550" cy="2609850"/>
            <wp:effectExtent l="0" t="0" r="0"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drawing>
          <wp:inline distT="0" distB="0" distL="0" distR="0" wp14:anchorId="57B5C27C" wp14:editId="4812366B">
            <wp:extent cx="5924550" cy="2400300"/>
            <wp:effectExtent l="0" t="0" r="0" b="0"/>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lastRenderedPageBreak/>
        <w:drawing>
          <wp:inline distT="0" distB="0" distL="0" distR="0" wp14:anchorId="17796C2C" wp14:editId="1FA1A08C">
            <wp:extent cx="5953125" cy="2438400"/>
            <wp:effectExtent l="0" t="0" r="9525" b="0"/>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38C4136F">
            <wp:extent cx="5962650" cy="2181225"/>
            <wp:effectExtent l="0" t="0" r="0" b="9525"/>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5CF62D" w14:textId="77777777" w:rsidR="00523F40" w:rsidRDefault="00523F40" w:rsidP="0063531B"/>
    <w:p w14:paraId="0C961D23" w14:textId="4FCFF197" w:rsidR="00462CB7" w:rsidRDefault="00462CB7" w:rsidP="00462CB7">
      <w:pPr>
        <w:pStyle w:val="Heading2"/>
        <w:rPr>
          <w:rStyle w:val="SubtleEmphasis"/>
        </w:rPr>
      </w:pPr>
      <w:r>
        <w:rPr>
          <w:rStyle w:val="SubtleEmphasis"/>
        </w:rPr>
        <w:t>3.1.7 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741328" w14:textId="7A06547A" w:rsidR="00462CB7" w:rsidRDefault="00462CB7" w:rsidP="00462CB7">
      <w:pPr>
        <w:pStyle w:val="Heading2"/>
        <w:rPr>
          <w:rStyle w:val="SubtleEmphasis"/>
        </w:rPr>
      </w:pPr>
      <w:r>
        <w:rPr>
          <w:rStyle w:val="SubtleEmphasis"/>
        </w:rPr>
        <w:t>3.1.8 2 Additional Features</w:t>
      </w:r>
    </w:p>
    <w:p w14:paraId="42D4BB29" w14:textId="18B8FD1F" w:rsidR="00462CB7" w:rsidRPr="00462CB7" w:rsidRDefault="00462CB7" w:rsidP="00462CB7">
      <w:pPr>
        <w:pStyle w:val="Heading3"/>
      </w:pPr>
      <w:r>
        <w:rPr>
          <w:rStyle w:val="SubtleEmphasis"/>
        </w:rPr>
        <w:t>3.1.8.1 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w:t>
      </w:r>
      <w:r w:rsidRPr="006E6078">
        <w:rPr>
          <w:highlight w:val="green"/>
        </w:rPr>
        <w:t>in FIGURE X.</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lastRenderedPageBreak/>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drawing>
          <wp:inline distT="0" distB="0" distL="0" distR="0" wp14:anchorId="6474A7A0" wp14:editId="4DBBC12E">
            <wp:extent cx="5743575" cy="2809875"/>
            <wp:effectExtent l="0" t="0" r="9525" b="952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drawing>
          <wp:inline distT="0" distB="0" distL="0" distR="0" wp14:anchorId="48DF8DFD" wp14:editId="3061CE4B">
            <wp:extent cx="5743575" cy="2847975"/>
            <wp:effectExtent l="0" t="0" r="9525" b="9525"/>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2228F94C" w14:textId="7144708E" w:rsidR="0063531B" w:rsidRDefault="00462CB7" w:rsidP="006E6078">
      <w:pPr>
        <w:pStyle w:val="Heading3"/>
        <w:rPr>
          <w:rStyle w:val="SubtleEmphasis"/>
        </w:rPr>
      </w:pPr>
      <w:r>
        <w:rPr>
          <w:rStyle w:val="SubtleEmphasis"/>
        </w:rPr>
        <w:t>3.1.8.2 Locations</w:t>
      </w:r>
    </w:p>
    <w:p w14:paraId="699EEFEB" w14:textId="77777777" w:rsidR="006E6078" w:rsidRPr="006E6078" w:rsidRDefault="006E6078" w:rsidP="006E6078"/>
    <w:p w14:paraId="413B283B" w14:textId="3A10A25F" w:rsidR="00B03E58" w:rsidRDefault="00B03E58" w:rsidP="00B03E58">
      <w:r>
        <w:lastRenderedPageBreak/>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3333E8BE" w:rsidR="00DF6E16" w:rsidRDefault="00DF6E16" w:rsidP="00B03E58">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w:t>
      </w:r>
      <w:r w:rsidR="006E6078">
        <w:t>number</w:t>
      </w:r>
      <w:r w:rsidR="00D25389">
        <w:t xml:space="preserve">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9747E2A" w14:textId="77777777" w:rsidR="00E65722" w:rsidRDefault="00E65722" w:rsidP="00B03E58"/>
    <w:p w14:paraId="6B3E3601" w14:textId="5175C0FD" w:rsidR="006A2250" w:rsidRDefault="006A2250" w:rsidP="0063531B">
      <w:pPr>
        <w:jc w:val="center"/>
      </w:pPr>
      <w:r>
        <w:rPr>
          <w:noProof/>
        </w:rPr>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63531B"/>
    <w:p w14:paraId="1855118F" w14:textId="6B57FF95" w:rsidR="00462CB7" w:rsidRDefault="00462CB7" w:rsidP="00462CB7">
      <w:pPr>
        <w:pStyle w:val="Heading1"/>
      </w:pPr>
      <w:r>
        <w:lastRenderedPageBreak/>
        <w:t>3.2 Section B Results:</w:t>
      </w:r>
    </w:p>
    <w:p w14:paraId="128F47E9" w14:textId="5FF3BB00" w:rsidR="00462CB7" w:rsidRDefault="00462CB7" w:rsidP="00462CB7">
      <w:pPr>
        <w:pStyle w:val="Heading2"/>
        <w:rPr>
          <w:rStyle w:val="SubtleEmphasis"/>
        </w:rPr>
      </w:pPr>
      <w:r>
        <w:rPr>
          <w:rStyle w:val="SubtleEmphasis"/>
        </w:rPr>
        <w:t>3.2.1 Most Studied Drug</w:t>
      </w:r>
    </w:p>
    <w:p w14:paraId="10A801AD" w14:textId="77777777" w:rsidR="00462CB7" w:rsidRDefault="00462CB7" w:rsidP="00DA0C57">
      <w:pPr>
        <w:pStyle w:val="Heading2"/>
        <w:rPr>
          <w:b/>
          <w:bCs/>
          <w:sz w:val="40"/>
          <w:szCs w:val="40"/>
        </w:rPr>
      </w:pPr>
    </w:p>
    <w:p w14:paraId="72242A9C" w14:textId="712AEA54" w:rsidR="00BB2EE2" w:rsidRDefault="00BB2EE2" w:rsidP="00DA0C57">
      <w:r>
        <w:rPr>
          <w:noProof/>
        </w:rPr>
        <w:drawing>
          <wp:inline distT="0" distB="0" distL="0" distR="0" wp14:anchorId="2207D425" wp14:editId="180995C3">
            <wp:extent cx="5905500" cy="2219325"/>
            <wp:effectExtent l="0" t="0" r="0" b="9525"/>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F0F558" w14:textId="77777777" w:rsidR="00C90D7F" w:rsidRDefault="00C90D7F" w:rsidP="00DA0C57"/>
    <w:p w14:paraId="29485716" w14:textId="6DAF2B45" w:rsidR="00BB2EE2" w:rsidRDefault="00BB2EE2" w:rsidP="00C90D7F">
      <w:pPr>
        <w:ind w:firstLine="720"/>
      </w:pPr>
      <w:r>
        <w:t xml:space="preserve">We </w:t>
      </w:r>
      <w:r w:rsidR="00462CB7">
        <w:t>saw that</w:t>
      </w:r>
      <w:r>
        <w:t xml:space="preserve"> </w:t>
      </w:r>
      <w:proofErr w:type="spellStart"/>
      <w:r>
        <w:t>Havrix</w:t>
      </w:r>
      <w:proofErr w:type="spellEnd"/>
      <w:r w:rsidR="00C90D7F">
        <w:t xml:space="preserve"> </w:t>
      </w:r>
      <w:r>
        <w:t xml:space="preserve">720 Junior and Vaqta </w:t>
      </w:r>
      <w:r w:rsidR="00C90D7F">
        <w:t>were</w:t>
      </w:r>
      <w:r>
        <w:t xml:space="preserve"> the most studied drugs for Hepatitis A. </w:t>
      </w:r>
      <w:r w:rsidR="00C90D7F">
        <w:t xml:space="preserve">After further investigation, we found that </w:t>
      </w:r>
      <w:proofErr w:type="spellStart"/>
      <w:r w:rsidR="00C90D7F">
        <w:t>Havrix</w:t>
      </w:r>
      <w:proofErr w:type="spellEnd"/>
      <w:r w:rsidR="00C90D7F">
        <w:t xml:space="preserve"> 720 is a Hepatitis A vaccine manufactured by GSK Investigational in </w:t>
      </w:r>
      <w:r w:rsidR="00C90D7F" w:rsidRPr="006E6078">
        <w:rPr>
          <w:highlight w:val="yellow"/>
        </w:rPr>
        <w:t>Belgium</w:t>
      </w:r>
      <w:r w:rsidR="00C90D7F">
        <w:t>. As we saw in section 3.1.</w:t>
      </w:r>
      <w:r w:rsidR="006E6078">
        <w:t>8</w:t>
      </w:r>
      <w:r w:rsidR="00C90D7F">
        <w:t xml:space="preserve">.2, that location was the most frequent site found for Hepatitis A trials. </w:t>
      </w:r>
    </w:p>
    <w:p w14:paraId="7A884FF7" w14:textId="5A70B642" w:rsidR="00E57207" w:rsidRDefault="00E57207" w:rsidP="00DA0C57"/>
    <w:p w14:paraId="310CE1D0" w14:textId="2A58AA10" w:rsidR="00E57207" w:rsidRDefault="00E57207" w:rsidP="00DA0C57"/>
    <w:p w14:paraId="2B651D2B" w14:textId="16660F0D" w:rsidR="00151C5B" w:rsidRDefault="00151C5B" w:rsidP="00DA0C57">
      <w:r>
        <w:rPr>
          <w:noProof/>
        </w:rPr>
        <w:drawing>
          <wp:inline distT="0" distB="0" distL="0" distR="0" wp14:anchorId="261BC1BB" wp14:editId="57693A7C">
            <wp:extent cx="6057900" cy="1905000"/>
            <wp:effectExtent l="0" t="0" r="0"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8C4417" w14:textId="747A234B" w:rsidR="00462CB7" w:rsidRPr="00462CB7" w:rsidRDefault="00462CB7" w:rsidP="00462CB7">
      <w:pPr>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sidRPr="006E6078">
        <w:rPr>
          <w:highlight w:val="yellow"/>
        </w:rPr>
        <w:t>drug</w:t>
      </w:r>
      <w:r>
        <w:t xml:space="preserve">. </w:t>
      </w:r>
    </w:p>
    <w:p w14:paraId="743FC93E" w14:textId="741BF092" w:rsidR="00462CB7" w:rsidRDefault="00462CB7" w:rsidP="00151C5B">
      <w:r>
        <w:tab/>
        <w:t xml:space="preserve">No overlap was found between Hepatitis A drugs and COVID-19 drugs, which makes sense due to the difference in the diseases. </w:t>
      </w:r>
    </w:p>
    <w:p w14:paraId="15754738" w14:textId="4F39F46D" w:rsidR="00462CB7" w:rsidRDefault="00462CB7" w:rsidP="00151C5B"/>
    <w:p w14:paraId="0732121F" w14:textId="47D3C744" w:rsidR="00F86E7D" w:rsidRDefault="00F86E7D" w:rsidP="00F86E7D">
      <w:pPr>
        <w:pStyle w:val="Heading2"/>
        <w:rPr>
          <w:rStyle w:val="SubtleEmphasis"/>
        </w:rPr>
      </w:pPr>
      <w:r>
        <w:rPr>
          <w:rStyle w:val="SubtleEmphasis"/>
        </w:rPr>
        <w:t>3.2.2 Adverse Events</w:t>
      </w:r>
    </w:p>
    <w:p w14:paraId="2290456F" w14:textId="13C482FA" w:rsidR="00F86E7D" w:rsidRDefault="00F86E7D" w:rsidP="00F86E7D"/>
    <w:p w14:paraId="74E16784" w14:textId="6172F937" w:rsidR="00F86E7D" w:rsidRPr="00F86E7D" w:rsidRDefault="00F8737E" w:rsidP="00F86E7D">
      <w:pPr>
        <w:pStyle w:val="Heading2"/>
        <w:rPr>
          <w:i/>
          <w:iCs/>
          <w:color w:val="404040" w:themeColor="text1" w:themeTint="BF"/>
        </w:rPr>
      </w:pPr>
      <w:r w:rsidRPr="00BA519C">
        <w:rPr>
          <w:noProof/>
        </w:rPr>
        <w:lastRenderedPageBreak/>
        <w:drawing>
          <wp:anchor distT="0" distB="0" distL="114300" distR="114300" simplePos="0" relativeHeight="251667456" behindDoc="0" locked="0" layoutInCell="1" allowOverlap="1" wp14:anchorId="77789F31" wp14:editId="1C2C10E4">
            <wp:simplePos x="0" y="0"/>
            <wp:positionH relativeFrom="margin">
              <wp:align>left</wp:align>
            </wp:positionH>
            <wp:positionV relativeFrom="paragraph">
              <wp:posOffset>275590</wp:posOffset>
            </wp:positionV>
            <wp:extent cx="5867400" cy="24098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867400" cy="2409825"/>
                    </a:xfrm>
                    <a:prstGeom prst="rect">
                      <a:avLst/>
                    </a:prstGeom>
                  </pic:spPr>
                </pic:pic>
              </a:graphicData>
            </a:graphic>
            <wp14:sizeRelH relativeFrom="margin">
              <wp14:pctWidth>0</wp14:pctWidth>
            </wp14:sizeRelH>
            <wp14:sizeRelV relativeFrom="margin">
              <wp14:pctHeight>0</wp14:pctHeight>
            </wp14:sizeRelV>
          </wp:anchor>
        </w:drawing>
      </w:r>
      <w:r w:rsidR="00F86E7D">
        <w:rPr>
          <w:rStyle w:val="SubtleEmphasis"/>
        </w:rPr>
        <w:t>3.2.3 Trends over the Years</w:t>
      </w:r>
    </w:p>
    <w:p w14:paraId="4E81F190" w14:textId="03CAB12B" w:rsidR="009A379C" w:rsidRDefault="00F8737E" w:rsidP="00151C5B">
      <w:r>
        <w:tab/>
      </w:r>
      <w:r w:rsidR="00265FB9">
        <w:t>F</w:t>
      </w:r>
      <w:r w:rsidR="00C025A1">
        <w:t>ollowing is the chart of when Hep A study started over the years</w:t>
      </w:r>
      <w:r w:rsidR="00CC4F0A">
        <w:t>.</w:t>
      </w:r>
    </w:p>
    <w:p w14:paraId="5B8FC651" w14:textId="2E04152A" w:rsidR="00C025A1" w:rsidRDefault="00C025A1" w:rsidP="00151C5B"/>
    <w:p w14:paraId="123A8EA7" w14:textId="7E429C1B" w:rsidR="000D6FF4" w:rsidRDefault="000D6FF4" w:rsidP="00151C5B">
      <w:r w:rsidRPr="00BA519C">
        <w:rPr>
          <w:noProof/>
        </w:rPr>
        <w:drawing>
          <wp:anchor distT="0" distB="0" distL="114300" distR="114300" simplePos="0" relativeHeight="251668480" behindDoc="0" locked="0" layoutInCell="1" allowOverlap="1" wp14:anchorId="09FBA5E9" wp14:editId="2ABBA5A2">
            <wp:simplePos x="0" y="0"/>
            <wp:positionH relativeFrom="margin">
              <wp:posOffset>114300</wp:posOffset>
            </wp:positionH>
            <wp:positionV relativeFrom="paragraph">
              <wp:posOffset>8890</wp:posOffset>
            </wp:positionV>
            <wp:extent cx="2619375" cy="2105660"/>
            <wp:effectExtent l="0" t="0" r="9525"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19375" cy="2105660"/>
                    </a:xfrm>
                    <a:prstGeom prst="rect">
                      <a:avLst/>
                    </a:prstGeom>
                  </pic:spPr>
                </pic:pic>
              </a:graphicData>
            </a:graphic>
            <wp14:sizeRelH relativeFrom="margin">
              <wp14:pctWidth>0</wp14:pctWidth>
            </wp14:sizeRelH>
          </wp:anchor>
        </w:drawing>
      </w:r>
      <w:r>
        <w:tab/>
      </w:r>
    </w:p>
    <w:p w14:paraId="0C8060A5" w14:textId="77777777" w:rsidR="000D6FF4" w:rsidRDefault="000D6FF4" w:rsidP="00151C5B"/>
    <w:p w14:paraId="3EC54593" w14:textId="3A9312D5" w:rsidR="000D6FF4" w:rsidRDefault="000D6FF4" w:rsidP="00151C5B"/>
    <w:p w14:paraId="0E352C98" w14:textId="77777777" w:rsidR="000D6FF4" w:rsidRDefault="000D6FF4" w:rsidP="00151C5B"/>
    <w:p w14:paraId="70302EAD" w14:textId="097450AC" w:rsidR="00C025A1" w:rsidRDefault="004333E3" w:rsidP="00151C5B">
      <w:r>
        <w:t>Following shows distribution of the Hep A study</w:t>
      </w:r>
      <w:r w:rsidR="00271692">
        <w:t xml:space="preserve"> start year</w:t>
      </w:r>
      <w:r>
        <w:t xml:space="preserve">. Oldest one started in 1990s and the most recent one started in 2010s. </w:t>
      </w:r>
      <w:r w:rsidR="00722AD9">
        <w:t xml:space="preserve">Median is </w:t>
      </w:r>
      <w:r w:rsidR="00D6579B">
        <w:t>2000s.</w:t>
      </w:r>
    </w:p>
    <w:p w14:paraId="4D74C204" w14:textId="4673AA9A" w:rsidR="00F86E7D" w:rsidRDefault="00F86E7D" w:rsidP="00151C5B"/>
    <w:p w14:paraId="2DF93EAE" w14:textId="4E4AD645" w:rsidR="00F86E7D" w:rsidRDefault="00F86E7D" w:rsidP="00151C5B"/>
    <w:p w14:paraId="232DB7E8" w14:textId="476FBB7D" w:rsidR="00F86E7D" w:rsidRDefault="003019FF" w:rsidP="00151C5B">
      <w:r w:rsidRPr="006E5F79">
        <w:rPr>
          <w:noProof/>
        </w:rPr>
        <w:drawing>
          <wp:anchor distT="0" distB="0" distL="114300" distR="114300" simplePos="0" relativeHeight="251669504" behindDoc="0" locked="0" layoutInCell="1" allowOverlap="1" wp14:anchorId="61002B80" wp14:editId="7F19D774">
            <wp:simplePos x="0" y="0"/>
            <wp:positionH relativeFrom="margin">
              <wp:posOffset>-76200</wp:posOffset>
            </wp:positionH>
            <wp:positionV relativeFrom="paragraph">
              <wp:posOffset>292100</wp:posOffset>
            </wp:positionV>
            <wp:extent cx="5572125" cy="2151380"/>
            <wp:effectExtent l="0" t="0" r="9525" b="127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72125" cy="2151380"/>
                    </a:xfrm>
                    <a:prstGeom prst="rect">
                      <a:avLst/>
                    </a:prstGeom>
                  </pic:spPr>
                </pic:pic>
              </a:graphicData>
            </a:graphic>
            <wp14:sizeRelH relativeFrom="margin">
              <wp14:pctWidth>0</wp14:pctWidth>
            </wp14:sizeRelH>
            <wp14:sizeRelV relativeFrom="margin">
              <wp14:pctHeight>0</wp14:pctHeight>
            </wp14:sizeRelV>
          </wp:anchor>
        </w:drawing>
      </w:r>
    </w:p>
    <w:p w14:paraId="7CA4EB1C" w14:textId="3A28B9E1" w:rsidR="00375780" w:rsidRDefault="00DC4F64" w:rsidP="00151C5B">
      <w:r>
        <w:tab/>
      </w:r>
      <w:r w:rsidR="0073779B">
        <w:t xml:space="preserve">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1C5B">
      <w:r>
        <w:t xml:space="preserve"> </w:t>
      </w:r>
    </w:p>
    <w:p w14:paraId="0A4F590C" w14:textId="3399C650" w:rsidR="0057225D" w:rsidRDefault="00835C99" w:rsidP="00151C5B">
      <w:r w:rsidRPr="00396477">
        <w:rPr>
          <w:noProof/>
        </w:rPr>
        <w:lastRenderedPageBreak/>
        <w:drawing>
          <wp:anchor distT="0" distB="0" distL="114300" distR="114300" simplePos="0" relativeHeight="251670528" behindDoc="0" locked="0" layoutInCell="1" allowOverlap="1" wp14:anchorId="1E0BB818" wp14:editId="2D59C3EE">
            <wp:simplePos x="0" y="0"/>
            <wp:positionH relativeFrom="margin">
              <wp:align>left</wp:align>
            </wp:positionH>
            <wp:positionV relativeFrom="paragraph">
              <wp:posOffset>8890</wp:posOffset>
            </wp:positionV>
            <wp:extent cx="2447925" cy="19145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447925" cy="1914525"/>
                    </a:xfrm>
                    <a:prstGeom prst="rect">
                      <a:avLst/>
                    </a:prstGeom>
                  </pic:spPr>
                </pic:pic>
              </a:graphicData>
            </a:graphic>
            <wp14:sizeRelH relativeFrom="margin">
              <wp14:pctWidth>0</wp14:pctWidth>
            </wp14:sizeRelH>
            <wp14:sizeRelV relativeFrom="margin">
              <wp14:pctHeight>0</wp14:pctHeight>
            </wp14:sizeRelV>
          </wp:anchor>
        </w:drawing>
      </w:r>
    </w:p>
    <w:p w14:paraId="295E5226" w14:textId="68161E6A" w:rsidR="0057225D" w:rsidRDefault="0057225D" w:rsidP="00151C5B"/>
    <w:p w14:paraId="6C9191FA" w14:textId="662D5A83" w:rsidR="00F766B9" w:rsidRDefault="00271692" w:rsidP="00151C5B">
      <w:r>
        <w:t>Following shows distribution of the Hep A study going on at any time of the year.</w:t>
      </w:r>
      <w:r w:rsidR="003019FF">
        <w:t xml:space="preserve"> Few are ongoing since a few years ago, but most seem to have been going on slightly before and after 2010s.</w:t>
      </w:r>
    </w:p>
    <w:p w14:paraId="74B43BA9" w14:textId="3085F51F" w:rsidR="00271692" w:rsidRDefault="00271692" w:rsidP="00151C5B"/>
    <w:p w14:paraId="4A4D285C" w14:textId="77777777" w:rsidR="0034777B" w:rsidRDefault="0034777B" w:rsidP="002B0413"/>
    <w:p w14:paraId="0C40A475" w14:textId="77777777" w:rsidR="0034777B" w:rsidRDefault="0034777B" w:rsidP="002B0413"/>
    <w:p w14:paraId="145421DD" w14:textId="32B91AD6" w:rsidR="0034777B" w:rsidRDefault="00DC4F64" w:rsidP="002B0413">
      <w:r w:rsidRPr="005E056D">
        <w:rPr>
          <w:noProof/>
        </w:rPr>
        <w:drawing>
          <wp:anchor distT="0" distB="0" distL="114300" distR="114300" simplePos="0" relativeHeight="251671552" behindDoc="0" locked="0" layoutInCell="1" allowOverlap="1" wp14:anchorId="03BB9947" wp14:editId="10F56F74">
            <wp:simplePos x="0" y="0"/>
            <wp:positionH relativeFrom="margin">
              <wp:posOffset>-152400</wp:posOffset>
            </wp:positionH>
            <wp:positionV relativeFrom="paragraph">
              <wp:posOffset>280670</wp:posOffset>
            </wp:positionV>
            <wp:extent cx="6124575" cy="2276475"/>
            <wp:effectExtent l="0" t="0" r="9525"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124575" cy="2276475"/>
                    </a:xfrm>
                    <a:prstGeom prst="rect">
                      <a:avLst/>
                    </a:prstGeom>
                  </pic:spPr>
                </pic:pic>
              </a:graphicData>
            </a:graphic>
            <wp14:sizeRelH relativeFrom="margin">
              <wp14:pctWidth>0</wp14:pctWidth>
            </wp14:sizeRelH>
            <wp14:sizeRelV relativeFrom="margin">
              <wp14:pctHeight>0</wp14:pctHeight>
            </wp14:sizeRelV>
          </wp:anchor>
        </w:drawing>
      </w:r>
    </w:p>
    <w:p w14:paraId="58297EE3" w14:textId="793EF0AA" w:rsidR="002B0413" w:rsidRDefault="00DC4F64" w:rsidP="002B0413">
      <w:r>
        <w:tab/>
      </w:r>
      <w:r w:rsidR="002B0413">
        <w:t xml:space="preserve">Following is the chart of when </w:t>
      </w:r>
      <w:r w:rsidR="00A04FD6">
        <w:t>Hep A</w:t>
      </w:r>
      <w:r w:rsidR="002B0413">
        <w:t xml:space="preserve"> study </w:t>
      </w:r>
      <w:r w:rsidR="00A04FD6">
        <w:t xml:space="preserve">ended </w:t>
      </w:r>
      <w:r w:rsidR="002B0413">
        <w:t>over the years.</w:t>
      </w:r>
      <w:r w:rsidR="00112310">
        <w:t xml:space="preserve"> It seems the conclusion year is concentrated towards the middle of the graph.</w:t>
      </w:r>
    </w:p>
    <w:p w14:paraId="3491C05E" w14:textId="1010C9F9" w:rsidR="002B0413" w:rsidRDefault="002B0413" w:rsidP="00151C5B"/>
    <w:p w14:paraId="399F938C" w14:textId="77777777" w:rsidR="00973813" w:rsidRDefault="00973813" w:rsidP="0097341B">
      <w:pPr>
        <w:tabs>
          <w:tab w:val="left" w:pos="5235"/>
        </w:tabs>
      </w:pPr>
    </w:p>
    <w:p w14:paraId="33A1B765" w14:textId="75473730" w:rsidR="00973813" w:rsidRDefault="00CA179B" w:rsidP="0097341B">
      <w:pPr>
        <w:tabs>
          <w:tab w:val="left" w:pos="5235"/>
        </w:tabs>
      </w:pPr>
      <w:r w:rsidRPr="005E056D">
        <w:rPr>
          <w:noProof/>
        </w:rPr>
        <w:drawing>
          <wp:anchor distT="0" distB="0" distL="114300" distR="114300" simplePos="0" relativeHeight="251672576" behindDoc="0" locked="0" layoutInCell="1" allowOverlap="1" wp14:anchorId="7B5831A0" wp14:editId="0E1F48CD">
            <wp:simplePos x="0" y="0"/>
            <wp:positionH relativeFrom="column">
              <wp:posOffset>257175</wp:posOffset>
            </wp:positionH>
            <wp:positionV relativeFrom="paragraph">
              <wp:posOffset>121920</wp:posOffset>
            </wp:positionV>
            <wp:extent cx="2607945" cy="2400300"/>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07945" cy="2400300"/>
                    </a:xfrm>
                    <a:prstGeom prst="rect">
                      <a:avLst/>
                    </a:prstGeom>
                  </pic:spPr>
                </pic:pic>
              </a:graphicData>
            </a:graphic>
            <wp14:sizeRelH relativeFrom="margin">
              <wp14:pctWidth>0</wp14:pctWidth>
            </wp14:sizeRelH>
            <wp14:sizeRelV relativeFrom="margin">
              <wp14:pctHeight>0</wp14:pctHeight>
            </wp14:sizeRelV>
          </wp:anchor>
        </w:drawing>
      </w:r>
    </w:p>
    <w:p w14:paraId="10B0C623" w14:textId="77777777" w:rsidR="00973813" w:rsidRDefault="00973813" w:rsidP="0097341B">
      <w:pPr>
        <w:tabs>
          <w:tab w:val="left" w:pos="5235"/>
        </w:tabs>
      </w:pPr>
    </w:p>
    <w:p w14:paraId="71508B8A" w14:textId="271742F4" w:rsidR="00973813" w:rsidRDefault="00973813" w:rsidP="0097341B">
      <w:pPr>
        <w:tabs>
          <w:tab w:val="left" w:pos="5235"/>
        </w:tabs>
      </w:pPr>
    </w:p>
    <w:p w14:paraId="6B53B3E4" w14:textId="36061F4B" w:rsidR="002B0413" w:rsidRDefault="00E05D57" w:rsidP="0097341B">
      <w:pPr>
        <w:tabs>
          <w:tab w:val="left" w:pos="5235"/>
        </w:tabs>
      </w:pPr>
      <w:r>
        <w:t>Following shows the di</w:t>
      </w:r>
      <w:r w:rsidR="0097341B">
        <w:t xml:space="preserve">stribution of end years for hep </w:t>
      </w:r>
      <w:r w:rsidR="00470CAC">
        <w:t>A</w:t>
      </w:r>
      <w:r w:rsidR="0097341B">
        <w:t xml:space="preserve"> study</w:t>
      </w:r>
      <w:r w:rsidR="00470CAC">
        <w:t>. Most seem to have ended between 2007 and 2016.</w:t>
      </w:r>
    </w:p>
    <w:p w14:paraId="10F80526" w14:textId="77777777" w:rsidR="0097341B" w:rsidRDefault="0097341B" w:rsidP="0097341B">
      <w:pPr>
        <w:tabs>
          <w:tab w:val="left" w:pos="5235"/>
        </w:tabs>
      </w:pPr>
    </w:p>
    <w:p w14:paraId="136C1FFC" w14:textId="4BE5046F" w:rsidR="0097341B" w:rsidRDefault="0097341B" w:rsidP="0097341B">
      <w:pPr>
        <w:tabs>
          <w:tab w:val="left" w:pos="5235"/>
        </w:tabs>
      </w:pPr>
    </w:p>
    <w:p w14:paraId="266AC7CA" w14:textId="77777777" w:rsidR="00973813" w:rsidRDefault="00973813" w:rsidP="00155482">
      <w:pPr>
        <w:rPr>
          <w:b/>
          <w:bCs/>
          <w:sz w:val="36"/>
          <w:szCs w:val="36"/>
        </w:rPr>
      </w:pPr>
    </w:p>
    <w:p w14:paraId="5304B8F6" w14:textId="5847F0B6" w:rsidR="00973813" w:rsidRDefault="00973813" w:rsidP="00155482">
      <w:pPr>
        <w:rPr>
          <w:b/>
          <w:bCs/>
          <w:sz w:val="36"/>
          <w:szCs w:val="36"/>
        </w:rPr>
      </w:pPr>
    </w:p>
    <w:p w14:paraId="5397EADC" w14:textId="1D4713D4" w:rsidR="00973813" w:rsidRDefault="00973813" w:rsidP="00155482">
      <w:pPr>
        <w:rPr>
          <w:b/>
          <w:bCs/>
          <w:sz w:val="36"/>
          <w:szCs w:val="36"/>
        </w:rPr>
      </w:pPr>
    </w:p>
    <w:p w14:paraId="291FA307" w14:textId="77777777" w:rsidR="00973813" w:rsidRDefault="00973813" w:rsidP="00155482">
      <w:pPr>
        <w:rPr>
          <w:b/>
          <w:bCs/>
          <w:sz w:val="36"/>
          <w:szCs w:val="36"/>
        </w:rPr>
      </w:pPr>
    </w:p>
    <w:p w14:paraId="413ACD1E" w14:textId="0545E595" w:rsidR="00973813" w:rsidRDefault="00973813" w:rsidP="00155482">
      <w:pPr>
        <w:rPr>
          <w:b/>
          <w:bCs/>
          <w:sz w:val="36"/>
          <w:szCs w:val="36"/>
        </w:rPr>
      </w:pPr>
    </w:p>
    <w:p w14:paraId="598413C9" w14:textId="77777777" w:rsidR="00BC7D8B" w:rsidRDefault="00BC7D8B" w:rsidP="00155482">
      <w:pPr>
        <w:rPr>
          <w:b/>
          <w:bCs/>
          <w:sz w:val="36"/>
          <w:szCs w:val="36"/>
        </w:rPr>
      </w:pPr>
    </w:p>
    <w:p w14:paraId="53EEDA19" w14:textId="77777777" w:rsidR="00BC7D8B" w:rsidRDefault="00BC7D8B" w:rsidP="00155482">
      <w:pPr>
        <w:rPr>
          <w:b/>
          <w:bCs/>
          <w:sz w:val="36"/>
          <w:szCs w:val="36"/>
        </w:rPr>
      </w:pPr>
    </w:p>
    <w:p w14:paraId="4DDD47E4" w14:textId="77777777" w:rsidR="00BC7D8B" w:rsidRDefault="00BC7D8B" w:rsidP="00155482">
      <w:pPr>
        <w:rPr>
          <w:b/>
          <w:bCs/>
          <w:sz w:val="36"/>
          <w:szCs w:val="36"/>
        </w:rPr>
      </w:pPr>
    </w:p>
    <w:p w14:paraId="47ADEF95" w14:textId="0D31E2FA" w:rsidR="00155482" w:rsidRPr="00F766B9" w:rsidRDefault="00155482" w:rsidP="00155482">
      <w:pPr>
        <w:rPr>
          <w:b/>
          <w:bCs/>
          <w:sz w:val="36"/>
          <w:szCs w:val="36"/>
        </w:rPr>
      </w:pPr>
      <w:r w:rsidRPr="00F766B9">
        <w:rPr>
          <w:b/>
          <w:bCs/>
          <w:sz w:val="36"/>
          <w:szCs w:val="36"/>
        </w:rPr>
        <w:t>COVID</w:t>
      </w:r>
      <w:r w:rsidR="008C351C" w:rsidRPr="008C351C">
        <w:rPr>
          <w:b/>
          <w:bCs/>
          <w:sz w:val="32"/>
          <w:szCs w:val="32"/>
        </w:rPr>
        <w:t xml:space="preserve"> </w:t>
      </w:r>
      <w:r w:rsidR="008C351C">
        <w:rPr>
          <w:b/>
          <w:bCs/>
          <w:sz w:val="32"/>
          <w:szCs w:val="32"/>
        </w:rPr>
        <w:t>trends over the years</w:t>
      </w:r>
    </w:p>
    <w:p w14:paraId="46C0F0E7" w14:textId="5FD3A383" w:rsidR="00922017" w:rsidRDefault="00922017" w:rsidP="00151C5B"/>
    <w:p w14:paraId="160F0B88" w14:textId="550C7209" w:rsidR="00922017" w:rsidRDefault="00922017" w:rsidP="00151C5B">
      <w:r w:rsidRPr="0097341B">
        <w:rPr>
          <w:noProof/>
        </w:rPr>
        <w:drawing>
          <wp:anchor distT="0" distB="0" distL="114300" distR="114300" simplePos="0" relativeHeight="251673600" behindDoc="0" locked="0" layoutInCell="1" allowOverlap="1" wp14:anchorId="43496AD7" wp14:editId="10FA1E7E">
            <wp:simplePos x="0" y="0"/>
            <wp:positionH relativeFrom="margin">
              <wp:align>left</wp:align>
            </wp:positionH>
            <wp:positionV relativeFrom="paragraph">
              <wp:posOffset>76835</wp:posOffset>
            </wp:positionV>
            <wp:extent cx="2876550" cy="22505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2250590"/>
                    </a:xfrm>
                    <a:prstGeom prst="rect">
                      <a:avLst/>
                    </a:prstGeom>
                  </pic:spPr>
                </pic:pic>
              </a:graphicData>
            </a:graphic>
          </wp:anchor>
        </w:drawing>
      </w:r>
    </w:p>
    <w:p w14:paraId="010297D0" w14:textId="667B711F" w:rsidR="00922017" w:rsidRDefault="00922017" w:rsidP="00151C5B"/>
    <w:p w14:paraId="59BBAD64" w14:textId="46293248" w:rsidR="00922017" w:rsidRDefault="00922017" w:rsidP="00151C5B"/>
    <w:p w14:paraId="1734FCE2" w14:textId="28002239" w:rsidR="002B0413" w:rsidRDefault="009B2C83" w:rsidP="00151C5B">
      <w:r>
        <w:t>T</w:t>
      </w:r>
      <w:r w:rsidR="0097341B">
        <w:t>here are a lot of COVID-19 studies that opened in 2020 because of the pandemic</w:t>
      </w:r>
      <w:r w:rsidR="00EA4536">
        <w:t>.</w:t>
      </w:r>
    </w:p>
    <w:p w14:paraId="49F5F811" w14:textId="7335005F" w:rsidR="00AA6F79" w:rsidRDefault="00AA6F79" w:rsidP="00151C5B"/>
    <w:p w14:paraId="46C68C75" w14:textId="4420B1E1" w:rsidR="00D02A7A" w:rsidRDefault="00D02A7A" w:rsidP="00151C5B"/>
    <w:p w14:paraId="133D2427" w14:textId="77777777" w:rsidR="00D02A7A" w:rsidRDefault="00D02A7A" w:rsidP="00151C5B"/>
    <w:p w14:paraId="4C9AA8CB" w14:textId="508A8B52" w:rsidR="00D02A7A" w:rsidRDefault="00D02A7A" w:rsidP="00151C5B"/>
    <w:p w14:paraId="12725AF3" w14:textId="77777777" w:rsidR="00D02A7A" w:rsidRDefault="00D02A7A" w:rsidP="00151C5B"/>
    <w:p w14:paraId="576CAF8C" w14:textId="77777777" w:rsidR="00D02A7A" w:rsidRDefault="00D02A7A" w:rsidP="00151C5B"/>
    <w:p w14:paraId="70A2967A" w14:textId="04FF4633" w:rsidR="00D02A7A" w:rsidRDefault="00D02A7A" w:rsidP="00151C5B"/>
    <w:p w14:paraId="7CD31194" w14:textId="4431802E" w:rsidR="00D02A7A" w:rsidRDefault="00D02A7A" w:rsidP="00151C5B"/>
    <w:p w14:paraId="32D01A92" w14:textId="3BF8DE91" w:rsidR="00D02A7A" w:rsidRDefault="00D02A7A" w:rsidP="00151C5B"/>
    <w:p w14:paraId="0AD3BE60" w14:textId="3F5F89A1" w:rsidR="00D02A7A" w:rsidRDefault="00D02A7A" w:rsidP="00151C5B"/>
    <w:p w14:paraId="6DB03237" w14:textId="032EBADF" w:rsidR="00AA6F79" w:rsidRDefault="00D02A7A" w:rsidP="00151C5B">
      <w:r w:rsidRPr="00AA6F79">
        <w:rPr>
          <w:noProof/>
        </w:rPr>
        <w:drawing>
          <wp:anchor distT="0" distB="0" distL="114300" distR="114300" simplePos="0" relativeHeight="251674624" behindDoc="0" locked="0" layoutInCell="1" allowOverlap="1" wp14:anchorId="6F41DB8E" wp14:editId="7FB2FA98">
            <wp:simplePos x="0" y="0"/>
            <wp:positionH relativeFrom="column">
              <wp:posOffset>-56515</wp:posOffset>
            </wp:positionH>
            <wp:positionV relativeFrom="paragraph">
              <wp:posOffset>-504825</wp:posOffset>
            </wp:positionV>
            <wp:extent cx="3038475" cy="2406513"/>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38475" cy="2406513"/>
                    </a:xfrm>
                    <a:prstGeom prst="rect">
                      <a:avLst/>
                    </a:prstGeom>
                  </pic:spPr>
                </pic:pic>
              </a:graphicData>
            </a:graphic>
          </wp:anchor>
        </w:drawing>
      </w:r>
      <w:r w:rsidR="00956892">
        <w:t>M</w:t>
      </w:r>
      <w:r w:rsidR="00AA6F79">
        <w:t xml:space="preserve">edian is 2016+s, and it is skewed to more recent years, because of a lot of studies that started in </w:t>
      </w:r>
      <w:proofErr w:type="gramStart"/>
      <w:r w:rsidR="00AA6F79">
        <w:t>2020</w:t>
      </w:r>
      <w:proofErr w:type="gramEnd"/>
    </w:p>
    <w:p w14:paraId="0BA984AA" w14:textId="78A303A2" w:rsidR="00AA6F79" w:rsidRDefault="00AA6F79" w:rsidP="00151C5B"/>
    <w:p w14:paraId="73DE3170" w14:textId="77777777" w:rsidR="00D02A7A" w:rsidRDefault="00D02A7A" w:rsidP="00151C5B"/>
    <w:p w14:paraId="73BC78B6" w14:textId="77777777" w:rsidR="00D02A7A" w:rsidRDefault="00D02A7A" w:rsidP="00151C5B"/>
    <w:p w14:paraId="7EC4E0B4" w14:textId="77777777" w:rsidR="00D02A7A" w:rsidRDefault="00D02A7A" w:rsidP="00151C5B"/>
    <w:p w14:paraId="6745A88D" w14:textId="77777777" w:rsidR="00D02A7A" w:rsidRDefault="00D02A7A" w:rsidP="00151C5B"/>
    <w:p w14:paraId="5E8755C8" w14:textId="77777777" w:rsidR="00D02A7A" w:rsidRDefault="00D02A7A" w:rsidP="00151C5B"/>
    <w:p w14:paraId="64948183" w14:textId="77777777" w:rsidR="00D02A7A" w:rsidRDefault="00D02A7A" w:rsidP="00151C5B"/>
    <w:p w14:paraId="22F6C627" w14:textId="77777777" w:rsidR="00D02A7A" w:rsidRDefault="00D02A7A" w:rsidP="00151C5B"/>
    <w:p w14:paraId="11DAA4F1" w14:textId="28EC09E7" w:rsidR="00D02A7A" w:rsidRDefault="00D02A7A" w:rsidP="00151C5B">
      <w:r w:rsidRPr="00ED77C1">
        <w:rPr>
          <w:noProof/>
        </w:rPr>
        <w:drawing>
          <wp:anchor distT="0" distB="0" distL="114300" distR="114300" simplePos="0" relativeHeight="251675648" behindDoc="0" locked="0" layoutInCell="1" allowOverlap="1" wp14:anchorId="26469E52" wp14:editId="33E60341">
            <wp:simplePos x="0" y="0"/>
            <wp:positionH relativeFrom="margin">
              <wp:align>left</wp:align>
            </wp:positionH>
            <wp:positionV relativeFrom="paragraph">
              <wp:posOffset>15240</wp:posOffset>
            </wp:positionV>
            <wp:extent cx="2867025" cy="230695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70487" cy="2309808"/>
                    </a:xfrm>
                    <a:prstGeom prst="rect">
                      <a:avLst/>
                    </a:prstGeom>
                  </pic:spPr>
                </pic:pic>
              </a:graphicData>
            </a:graphic>
            <wp14:sizeRelH relativeFrom="margin">
              <wp14:pctWidth>0</wp14:pctWidth>
            </wp14:sizeRelH>
            <wp14:sizeRelV relativeFrom="margin">
              <wp14:pctHeight>0</wp14:pctHeight>
            </wp14:sizeRelV>
          </wp:anchor>
        </w:drawing>
      </w:r>
    </w:p>
    <w:p w14:paraId="068E8F38" w14:textId="77777777" w:rsidR="00D02A7A" w:rsidRDefault="00D02A7A" w:rsidP="00151C5B"/>
    <w:p w14:paraId="7610A233" w14:textId="4F9337FE" w:rsidR="00F17AB1" w:rsidRDefault="007E4A74" w:rsidP="00151C5B">
      <w:r>
        <w:t xml:space="preserve">This is a bar graph of COVID </w:t>
      </w:r>
      <w:r w:rsidR="00ED77C1">
        <w:t>study at any time</w:t>
      </w:r>
      <w:r w:rsidR="00B5664D">
        <w:t>. Most are 2020 and 2021.</w:t>
      </w:r>
    </w:p>
    <w:p w14:paraId="0CA53D98" w14:textId="77777777" w:rsidR="00D02A7A" w:rsidRDefault="00D02A7A" w:rsidP="00151C5B"/>
    <w:p w14:paraId="29FB14B1" w14:textId="77777777" w:rsidR="00D02A7A" w:rsidRDefault="00D02A7A" w:rsidP="00151C5B"/>
    <w:p w14:paraId="0D5F0F18" w14:textId="69C9AC1D" w:rsidR="00D02A7A" w:rsidRDefault="00D02A7A" w:rsidP="00151C5B"/>
    <w:p w14:paraId="3AFD8754" w14:textId="77777777" w:rsidR="00D02A7A" w:rsidRDefault="00D02A7A" w:rsidP="00151C5B"/>
    <w:p w14:paraId="6D67E99F" w14:textId="35207830" w:rsidR="00D02A7A" w:rsidRDefault="00D02A7A" w:rsidP="00151C5B"/>
    <w:p w14:paraId="6068F0F7" w14:textId="70F5CAA0" w:rsidR="00D02A7A" w:rsidRDefault="00D02A7A" w:rsidP="00151C5B"/>
    <w:p w14:paraId="21AD68AA" w14:textId="2AA598E7" w:rsidR="00D02A7A" w:rsidRDefault="00D02A7A" w:rsidP="00151C5B"/>
    <w:p w14:paraId="369B7667" w14:textId="13274A44" w:rsidR="00D02A7A" w:rsidRDefault="00D02A7A" w:rsidP="00151C5B"/>
    <w:p w14:paraId="55F990D0" w14:textId="6514445E" w:rsidR="00D02A7A" w:rsidRDefault="00D02A7A" w:rsidP="00151C5B"/>
    <w:p w14:paraId="357E668B" w14:textId="77777777" w:rsidR="00D02A7A" w:rsidRDefault="00D02A7A" w:rsidP="00151C5B"/>
    <w:p w14:paraId="625419CD" w14:textId="5C1EEE4D" w:rsidR="00D02A7A" w:rsidRDefault="00D02A7A" w:rsidP="00151C5B"/>
    <w:p w14:paraId="638B546E" w14:textId="7A02D6FB" w:rsidR="00D02A7A" w:rsidRDefault="00D02A7A" w:rsidP="00151C5B">
      <w:r w:rsidRPr="00ED77C1">
        <w:rPr>
          <w:noProof/>
        </w:rPr>
        <w:drawing>
          <wp:anchor distT="0" distB="0" distL="114300" distR="114300" simplePos="0" relativeHeight="251676672" behindDoc="0" locked="0" layoutInCell="1" allowOverlap="1" wp14:anchorId="3D058EFB" wp14:editId="0D669DC1">
            <wp:simplePos x="0" y="0"/>
            <wp:positionH relativeFrom="margin">
              <wp:align>left</wp:align>
            </wp:positionH>
            <wp:positionV relativeFrom="paragraph">
              <wp:posOffset>8255</wp:posOffset>
            </wp:positionV>
            <wp:extent cx="3011170" cy="2362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11170" cy="2362200"/>
                    </a:xfrm>
                    <a:prstGeom prst="rect">
                      <a:avLst/>
                    </a:prstGeom>
                  </pic:spPr>
                </pic:pic>
              </a:graphicData>
            </a:graphic>
          </wp:anchor>
        </w:drawing>
      </w:r>
    </w:p>
    <w:p w14:paraId="0435D87B" w14:textId="0CE41C6C" w:rsidR="00D02A7A" w:rsidRDefault="00D02A7A" w:rsidP="00151C5B"/>
    <w:p w14:paraId="3261E79D" w14:textId="78501D62" w:rsidR="00021D28" w:rsidRDefault="00956892" w:rsidP="00151C5B">
      <w:r>
        <w:t>Following is the distribution</w:t>
      </w:r>
      <w:r w:rsidR="00F17AB1">
        <w:t xml:space="preserve"> of studies opened</w:t>
      </w:r>
      <w:r w:rsidR="0060181F">
        <w:t xml:space="preserve"> on COVID-19</w:t>
      </w:r>
      <w:r w:rsidR="00F84391">
        <w:t>. Most are concentrated between 2010 and 2018.</w:t>
      </w:r>
    </w:p>
    <w:p w14:paraId="099949E2" w14:textId="572016B5" w:rsidR="00021D28" w:rsidRDefault="006E0B63" w:rsidP="00151C5B">
      <w:r w:rsidRPr="006E0B63">
        <w:rPr>
          <w:noProof/>
        </w:rPr>
        <w:drawing>
          <wp:anchor distT="0" distB="0" distL="114300" distR="114300" simplePos="0" relativeHeight="251677696" behindDoc="0" locked="0" layoutInCell="1" allowOverlap="1" wp14:anchorId="154AC731" wp14:editId="6CF112A7">
            <wp:simplePos x="0" y="0"/>
            <wp:positionH relativeFrom="column">
              <wp:posOffset>0</wp:posOffset>
            </wp:positionH>
            <wp:positionV relativeFrom="paragraph">
              <wp:posOffset>1628140</wp:posOffset>
            </wp:positionV>
            <wp:extent cx="3127791" cy="2514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27791" cy="2514600"/>
                    </a:xfrm>
                    <a:prstGeom prst="rect">
                      <a:avLst/>
                    </a:prstGeom>
                  </pic:spPr>
                </pic:pic>
              </a:graphicData>
            </a:graphic>
          </wp:anchor>
        </w:drawing>
      </w:r>
    </w:p>
    <w:p w14:paraId="08CA3157" w14:textId="77777777" w:rsidR="00D02A7A" w:rsidRDefault="00D02A7A" w:rsidP="00151C5B"/>
    <w:p w14:paraId="7FDB4B04" w14:textId="2A9DA83C" w:rsidR="00D02A7A" w:rsidRDefault="00D02A7A" w:rsidP="00151C5B"/>
    <w:p w14:paraId="30A76A3C" w14:textId="7A2C7B9D" w:rsidR="00D02A7A" w:rsidRDefault="00D02A7A" w:rsidP="00151C5B"/>
    <w:p w14:paraId="0E266844" w14:textId="6C719E18" w:rsidR="00D02A7A" w:rsidRDefault="00D02A7A" w:rsidP="00151C5B"/>
    <w:p w14:paraId="6A0371A9" w14:textId="3B2686A8" w:rsidR="00D02A7A" w:rsidRDefault="00D02A7A" w:rsidP="00151C5B"/>
    <w:p w14:paraId="3D6EABAB" w14:textId="77777777" w:rsidR="00D02A7A" w:rsidRDefault="00D02A7A" w:rsidP="00151C5B"/>
    <w:p w14:paraId="34FF9320" w14:textId="5070744A" w:rsidR="00D02A7A" w:rsidRDefault="00D02A7A" w:rsidP="00151C5B"/>
    <w:p w14:paraId="0506A7A3" w14:textId="686D4E92" w:rsidR="00D02A7A" w:rsidRDefault="00D02A7A" w:rsidP="00151C5B"/>
    <w:p w14:paraId="6C027856" w14:textId="287626B9" w:rsidR="00D02A7A" w:rsidRDefault="00D02A7A" w:rsidP="00151C5B"/>
    <w:p w14:paraId="720AA9D1" w14:textId="410BF519" w:rsidR="00D02A7A" w:rsidRDefault="00D02A7A" w:rsidP="00151C5B"/>
    <w:p w14:paraId="0B98800D" w14:textId="4F02912A" w:rsidR="00D02A7A" w:rsidRDefault="00D02A7A" w:rsidP="00151C5B"/>
    <w:p w14:paraId="4D0AE6EA" w14:textId="4C0D5A7B" w:rsidR="00D02A7A" w:rsidRDefault="00D02A7A" w:rsidP="00151C5B"/>
    <w:p w14:paraId="3F256958" w14:textId="219B6C7E" w:rsidR="002B0413" w:rsidRDefault="00F118DE" w:rsidP="00151C5B">
      <w:r>
        <w:t>A</w:t>
      </w:r>
      <w:r w:rsidR="006623C6">
        <w:t>ll</w:t>
      </w:r>
      <w:r w:rsidR="0067700A">
        <w:t xml:space="preserve"> ended in 2020 and 2021</w:t>
      </w:r>
      <w:r w:rsidR="002B135B">
        <w:t>.</w:t>
      </w:r>
    </w:p>
    <w:p w14:paraId="4D1869E1" w14:textId="0D036570" w:rsidR="0067700A" w:rsidRDefault="0067700A" w:rsidP="00151C5B"/>
    <w:p w14:paraId="65496C9F" w14:textId="77777777" w:rsidR="00D02A7A" w:rsidRDefault="00D02A7A" w:rsidP="00151C5B"/>
    <w:p w14:paraId="3B918792" w14:textId="77777777" w:rsidR="00D02A7A" w:rsidRDefault="00D02A7A" w:rsidP="00151C5B"/>
    <w:p w14:paraId="0CA10290" w14:textId="77777777" w:rsidR="00D02A7A" w:rsidRDefault="00D02A7A" w:rsidP="00151C5B"/>
    <w:p w14:paraId="52A62438" w14:textId="77777777" w:rsidR="00D02A7A" w:rsidRDefault="00D02A7A" w:rsidP="00151C5B"/>
    <w:p w14:paraId="0469EB34" w14:textId="77777777" w:rsidR="00D02A7A" w:rsidRDefault="00D02A7A" w:rsidP="00151C5B"/>
    <w:p w14:paraId="7B8749B4" w14:textId="77777777" w:rsidR="00D02A7A" w:rsidRDefault="00D02A7A" w:rsidP="00151C5B"/>
    <w:p w14:paraId="3D351989" w14:textId="77777777" w:rsidR="00D02A7A" w:rsidRDefault="00D02A7A" w:rsidP="00151C5B"/>
    <w:p w14:paraId="51D906FA" w14:textId="31D4FB62" w:rsidR="00D02A7A" w:rsidRDefault="00A54A49" w:rsidP="00151C5B">
      <w:r w:rsidRPr="00BC19A3">
        <w:rPr>
          <w:noProof/>
        </w:rPr>
        <w:drawing>
          <wp:anchor distT="0" distB="0" distL="114300" distR="114300" simplePos="0" relativeHeight="251678720" behindDoc="0" locked="0" layoutInCell="1" allowOverlap="1" wp14:anchorId="60553742" wp14:editId="22109B06">
            <wp:simplePos x="0" y="0"/>
            <wp:positionH relativeFrom="margin">
              <wp:posOffset>123825</wp:posOffset>
            </wp:positionH>
            <wp:positionV relativeFrom="paragraph">
              <wp:posOffset>10795</wp:posOffset>
            </wp:positionV>
            <wp:extent cx="2621915" cy="2038350"/>
            <wp:effectExtent l="0" t="0" r="698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621915" cy="2038350"/>
                    </a:xfrm>
                    <a:prstGeom prst="rect">
                      <a:avLst/>
                    </a:prstGeom>
                  </pic:spPr>
                </pic:pic>
              </a:graphicData>
            </a:graphic>
            <wp14:sizeRelH relativeFrom="margin">
              <wp14:pctWidth>0</wp14:pctWidth>
            </wp14:sizeRelH>
            <wp14:sizeRelV relativeFrom="margin">
              <wp14:pctHeight>0</wp14:pctHeight>
            </wp14:sizeRelV>
          </wp:anchor>
        </w:drawing>
      </w:r>
    </w:p>
    <w:p w14:paraId="69E79929" w14:textId="33CF469E" w:rsidR="00D02A7A" w:rsidRDefault="00D02A7A" w:rsidP="00151C5B"/>
    <w:p w14:paraId="109196CD" w14:textId="102E213C" w:rsidR="00D02A7A" w:rsidRDefault="00D02A7A" w:rsidP="00151C5B"/>
    <w:p w14:paraId="48154B04" w14:textId="21FD472D" w:rsidR="0067700A" w:rsidRDefault="00C375F3" w:rsidP="00151C5B">
      <w:r>
        <w:t xml:space="preserve">The following is a distribution of </w:t>
      </w:r>
      <w:r w:rsidR="0067700A">
        <w:t xml:space="preserve">studies </w:t>
      </w:r>
      <w:r w:rsidR="00BC19A3">
        <w:t xml:space="preserve">ending </w:t>
      </w:r>
      <w:r w:rsidR="005B519B">
        <w:t xml:space="preserve">year </w:t>
      </w:r>
      <w:r w:rsidR="00BC19A3">
        <w:t>for COVID</w:t>
      </w:r>
      <w:r w:rsidR="0067700A">
        <w:t>.</w:t>
      </w:r>
    </w:p>
    <w:p w14:paraId="7A56D6AE" w14:textId="18529FF7" w:rsidR="00F53002" w:rsidRDefault="00F53002" w:rsidP="00F86E7D">
      <w:pPr>
        <w:pStyle w:val="Heading1"/>
      </w:pPr>
    </w:p>
    <w:p w14:paraId="34CF8D9D" w14:textId="1978936F" w:rsidR="001E6E8A" w:rsidRDefault="001E6E8A" w:rsidP="001E6E8A"/>
    <w:p w14:paraId="41BCC32B" w14:textId="01982B28" w:rsidR="001E6E8A" w:rsidRDefault="001E6E8A" w:rsidP="001E6E8A"/>
    <w:p w14:paraId="45BC4B8A" w14:textId="63AAB4D7" w:rsidR="001E6E8A" w:rsidRDefault="001E6E8A" w:rsidP="001E6E8A"/>
    <w:p w14:paraId="26E87AE4" w14:textId="3FBF4E0D" w:rsidR="001E6E8A" w:rsidRDefault="001E6E8A" w:rsidP="001E6E8A"/>
    <w:p w14:paraId="29221EAB" w14:textId="77777777" w:rsidR="001E6E8A" w:rsidRPr="001E6E8A" w:rsidRDefault="001E6E8A" w:rsidP="001E6E8A"/>
    <w:p w14:paraId="17B023C7" w14:textId="77777777" w:rsidR="00F53002" w:rsidRDefault="00F53002" w:rsidP="00F86E7D">
      <w:pPr>
        <w:pStyle w:val="Heading1"/>
      </w:pPr>
    </w:p>
    <w:p w14:paraId="2F17A5A3" w14:textId="5B594FCD" w:rsidR="00F86E7D" w:rsidRDefault="00F53002" w:rsidP="00F86E7D">
      <w:pPr>
        <w:pStyle w:val="Heading1"/>
      </w:pPr>
      <w:r>
        <w:t>3</w:t>
      </w:r>
      <w:r w:rsidR="00F86E7D">
        <w:t>.3 Section C Results:</w:t>
      </w:r>
    </w:p>
    <w:p w14:paraId="03AD8CE7" w14:textId="65BC3E7A" w:rsidR="00BB2EE2" w:rsidRDefault="00BB2EE2" w:rsidP="00DA0C57"/>
    <w:p w14:paraId="6723B60A" w14:textId="45164C91" w:rsidR="004E0EDF" w:rsidRDefault="007D00DC" w:rsidP="00DA0C57">
      <w:r>
        <w:rPr>
          <w:noProof/>
        </w:rPr>
        <w:drawing>
          <wp:anchor distT="0" distB="0" distL="114300" distR="114300" simplePos="0" relativeHeight="251659264" behindDoc="1" locked="0" layoutInCell="1" allowOverlap="1" wp14:anchorId="74CB13DD" wp14:editId="7EA5E05E">
            <wp:simplePos x="0" y="0"/>
            <wp:positionH relativeFrom="margin">
              <wp:align>left</wp:align>
            </wp:positionH>
            <wp:positionV relativeFrom="paragraph">
              <wp:posOffset>189865</wp:posOffset>
            </wp:positionV>
            <wp:extent cx="3133725" cy="2495550"/>
            <wp:effectExtent l="0" t="0" r="9525" b="0"/>
            <wp:wrapTight wrapText="bothSides">
              <wp:wrapPolygon edited="0">
                <wp:start x="0" y="0"/>
                <wp:lineTo x="0" y="21435"/>
                <wp:lineTo x="21534" y="21435"/>
                <wp:lineTo x="21534" y="0"/>
                <wp:lineTo x="0" y="0"/>
              </wp:wrapPolygon>
            </wp:wrapTight>
            <wp:docPr id="51" name="Chart 51">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C426D3" wp14:editId="05E037AA">
            <wp:simplePos x="0" y="0"/>
            <wp:positionH relativeFrom="column">
              <wp:posOffset>3276600</wp:posOffset>
            </wp:positionH>
            <wp:positionV relativeFrom="paragraph">
              <wp:posOffset>170815</wp:posOffset>
            </wp:positionV>
            <wp:extent cx="2933700" cy="2533650"/>
            <wp:effectExtent l="0" t="0" r="0" b="0"/>
            <wp:wrapSquare wrapText="bothSides"/>
            <wp:docPr id="52" name="Chart 52">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337A488D" w14:textId="5EBD536A" w:rsidR="004E0EDF" w:rsidRDefault="004547E5" w:rsidP="00DA0C57">
      <w:r>
        <w:t>There are more total number of collaborators for studying COVID than Hep A.</w:t>
      </w:r>
    </w:p>
    <w:p w14:paraId="7286F558" w14:textId="78A06D18" w:rsidR="007D00DC" w:rsidRDefault="007D00DC" w:rsidP="00DA0C57"/>
    <w:p w14:paraId="1E2AC82D" w14:textId="537379C9" w:rsidR="007D00DC" w:rsidRDefault="006C1FF7" w:rsidP="00DA0C57">
      <w:r>
        <w:rPr>
          <w:noProof/>
        </w:rPr>
        <w:drawing>
          <wp:anchor distT="0" distB="0" distL="114300" distR="114300" simplePos="0" relativeHeight="251662336" behindDoc="0" locked="0" layoutInCell="1" allowOverlap="1" wp14:anchorId="5CB852E9" wp14:editId="5FC87A94">
            <wp:simplePos x="0" y="0"/>
            <wp:positionH relativeFrom="column">
              <wp:posOffset>3352800</wp:posOffset>
            </wp:positionH>
            <wp:positionV relativeFrom="paragraph">
              <wp:posOffset>341630</wp:posOffset>
            </wp:positionV>
            <wp:extent cx="3228975" cy="3200400"/>
            <wp:effectExtent l="0" t="0" r="9525" b="0"/>
            <wp:wrapSquare wrapText="bothSides"/>
            <wp:docPr id="54" name="Chart 54">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848671" wp14:editId="56D3943D">
            <wp:simplePos x="0" y="0"/>
            <wp:positionH relativeFrom="margin">
              <wp:posOffset>-742950</wp:posOffset>
            </wp:positionH>
            <wp:positionV relativeFrom="paragraph">
              <wp:posOffset>346075</wp:posOffset>
            </wp:positionV>
            <wp:extent cx="3838575" cy="3133725"/>
            <wp:effectExtent l="0" t="0" r="9525" b="9525"/>
            <wp:wrapSquare wrapText="bothSides"/>
            <wp:docPr id="53" name="Chart 53">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2249B1B" w14:textId="5F9C2E50" w:rsidR="007D00DC" w:rsidRDefault="007D00DC" w:rsidP="00DA0C57"/>
    <w:p w14:paraId="1F5654BE" w14:textId="06E27CAA" w:rsidR="007D00DC" w:rsidRDefault="003E68ED" w:rsidP="00DA0C57">
      <w:r>
        <w:t xml:space="preserve">The following graphs are top collaborators for each disease by their frequency. </w:t>
      </w:r>
    </w:p>
    <w:p w14:paraId="39D53291" w14:textId="4301AFFB" w:rsidR="005857C2" w:rsidRDefault="005857C2" w:rsidP="00DA0C57"/>
    <w:p w14:paraId="32C8F8B7" w14:textId="32994AD2" w:rsidR="005857C2" w:rsidRDefault="005857C2" w:rsidP="00DA0C57">
      <w:r>
        <w:rPr>
          <w:noProof/>
        </w:rPr>
        <w:lastRenderedPageBreak/>
        <w:drawing>
          <wp:anchor distT="0" distB="0" distL="114300" distR="114300" simplePos="0" relativeHeight="251666432" behindDoc="0" locked="0" layoutInCell="1" allowOverlap="1" wp14:anchorId="45382949" wp14:editId="3939C89F">
            <wp:simplePos x="0" y="0"/>
            <wp:positionH relativeFrom="margin">
              <wp:posOffset>2952750</wp:posOffset>
            </wp:positionH>
            <wp:positionV relativeFrom="paragraph">
              <wp:posOffset>205740</wp:posOffset>
            </wp:positionV>
            <wp:extent cx="3505200" cy="3381375"/>
            <wp:effectExtent l="0" t="0" r="0" b="9525"/>
            <wp:wrapSquare wrapText="bothSides"/>
            <wp:docPr id="58" name="Chart 58">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C90C28" wp14:editId="5C8BC2B5">
            <wp:simplePos x="0" y="0"/>
            <wp:positionH relativeFrom="column">
              <wp:posOffset>-571500</wp:posOffset>
            </wp:positionH>
            <wp:positionV relativeFrom="paragraph">
              <wp:posOffset>196215</wp:posOffset>
            </wp:positionV>
            <wp:extent cx="3524250" cy="3457575"/>
            <wp:effectExtent l="0" t="0" r="0" b="9525"/>
            <wp:wrapSquare wrapText="bothSides"/>
            <wp:docPr id="57" name="Chart 57">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39044CD8" w14:textId="3A6F3BB8" w:rsidR="005857C2" w:rsidRDefault="005857C2" w:rsidP="00DA0C57"/>
    <w:p w14:paraId="4144B673" w14:textId="60EF98F6" w:rsidR="005857C2" w:rsidRDefault="00B862B7" w:rsidP="00DA0C57">
      <w:r>
        <w:rPr>
          <w:noProof/>
        </w:rPr>
        <w:drawing>
          <wp:anchor distT="0" distB="0" distL="114300" distR="114300" simplePos="0" relativeHeight="251680768" behindDoc="0" locked="0" layoutInCell="1" allowOverlap="1" wp14:anchorId="36D1A522" wp14:editId="483C6C8B">
            <wp:simplePos x="0" y="0"/>
            <wp:positionH relativeFrom="margin">
              <wp:posOffset>-647700</wp:posOffset>
            </wp:positionH>
            <wp:positionV relativeFrom="paragraph">
              <wp:posOffset>339725</wp:posOffset>
            </wp:positionV>
            <wp:extent cx="3419475" cy="3286125"/>
            <wp:effectExtent l="0" t="0" r="9525" b="9525"/>
            <wp:wrapSquare wrapText="bothSides"/>
            <wp:docPr id="56" name="Chart 56">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5857C2">
        <w:t>The following graphs are top lead sponsors for each disease by their frequency.</w:t>
      </w:r>
    </w:p>
    <w:p w14:paraId="1A9976F5" w14:textId="62CC072E" w:rsidR="007D00DC" w:rsidRDefault="00B862B7" w:rsidP="00DA0C57">
      <w:r>
        <w:rPr>
          <w:noProof/>
        </w:rPr>
        <w:drawing>
          <wp:anchor distT="0" distB="0" distL="114300" distR="114300" simplePos="0" relativeHeight="251663360" behindDoc="0" locked="0" layoutInCell="1" allowOverlap="1" wp14:anchorId="45B2DAC5" wp14:editId="58CBB716">
            <wp:simplePos x="0" y="0"/>
            <wp:positionH relativeFrom="margin">
              <wp:posOffset>2857500</wp:posOffset>
            </wp:positionH>
            <wp:positionV relativeFrom="paragraph">
              <wp:posOffset>231775</wp:posOffset>
            </wp:positionV>
            <wp:extent cx="3524250" cy="3286125"/>
            <wp:effectExtent l="0" t="0" r="0" b="9525"/>
            <wp:wrapSquare wrapText="bothSides"/>
            <wp:docPr id="55" name="Chart 55">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0AA6C5A5" w14:textId="3E581265" w:rsidR="007D00DC" w:rsidRDefault="007D00DC" w:rsidP="00DA0C57"/>
    <w:p w14:paraId="7BBB5242" w14:textId="52FD01C5" w:rsidR="007D00DC" w:rsidRDefault="007D00DC" w:rsidP="00DA0C57"/>
    <w:p w14:paraId="7627DFE8" w14:textId="45F2D915" w:rsidR="007D00DC" w:rsidRDefault="00B862B7" w:rsidP="00DA0C57">
      <w:r>
        <w:t>The following graphs compare the total number of lead sponsor and collaborator in each disease.</w:t>
      </w:r>
    </w:p>
    <w:p w14:paraId="09CE8114" w14:textId="68DB7785" w:rsidR="007D00DC" w:rsidRDefault="007D00DC" w:rsidP="00DA0C57"/>
    <w:p w14:paraId="1D7E8689" w14:textId="278602A9" w:rsidR="007D00DC" w:rsidRDefault="007D00DC" w:rsidP="00DA0C57"/>
    <w:p w14:paraId="5FB507A2" w14:textId="4D87BC75" w:rsidR="00F86E7D" w:rsidRDefault="00F86E7D" w:rsidP="00F86E7D">
      <w:pPr>
        <w:pStyle w:val="Heading1"/>
        <w:numPr>
          <w:ilvl w:val="0"/>
          <w:numId w:val="4"/>
        </w:numPr>
        <w:spacing w:before="400" w:after="240"/>
        <w:contextualSpacing/>
        <w:jc w:val="center"/>
      </w:pPr>
      <w:r>
        <w:t>Limitations</w:t>
      </w:r>
    </w:p>
    <w:p w14:paraId="1EC83116" w14:textId="77777777" w:rsidR="008F113E" w:rsidRDefault="008F113E" w:rsidP="008F113E">
      <w:pPr>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19B1C994" w14:textId="5DEB7753" w:rsidR="008F113E" w:rsidRDefault="008F113E" w:rsidP="008F113E">
      <w:pPr>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983976E" w14:textId="04405762" w:rsidR="00396646" w:rsidRDefault="00396646" w:rsidP="00396646">
      <w:pPr>
        <w:jc w:val="center"/>
      </w:pPr>
    </w:p>
    <w:p w14:paraId="541C1477" w14:textId="5EC33270" w:rsidR="00F86E7D" w:rsidRDefault="00F86E7D" w:rsidP="00F86E7D">
      <w:pPr>
        <w:pStyle w:val="Heading1"/>
        <w:numPr>
          <w:ilvl w:val="0"/>
          <w:numId w:val="4"/>
        </w:numPr>
        <w:spacing w:before="400" w:after="240"/>
        <w:contextualSpacing/>
        <w:jc w:val="center"/>
      </w:pPr>
      <w:r>
        <w:t>Conclusions</w:t>
      </w:r>
    </w:p>
    <w:p w14:paraId="3EC92205" w14:textId="06C01CEC" w:rsidR="008F113E" w:rsidRDefault="008F113E" w:rsidP="00A50F08">
      <w:pPr>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t>
      </w:r>
      <w:r w:rsidR="002224FC">
        <w:t>wa</w:t>
      </w:r>
      <w:r>
        <w:t xml:space="preserve">s fairly similar. As both diseases are contagious and vaccine-preventable, it seems that this connector between the two resulted in similar trial designs. Proportionately, the trials </w:t>
      </w:r>
      <w:r w:rsidR="002224FC">
        <w:t>we</w:t>
      </w:r>
      <w:r>
        <w:t xml:space="preserve">re similar in masking and allocation strategy, interventional and observational models, type of trial, and gender. </w:t>
      </w:r>
    </w:p>
    <w:p w14:paraId="5C60C83F" w14:textId="7EBBA3DA" w:rsidR="008F113E" w:rsidRDefault="008F113E" w:rsidP="008F113E">
      <w:r>
        <w:tab/>
        <w:t xml:space="preserve">The trials do differ in many sections, but most of these differences can be explained by the </w:t>
      </w:r>
      <w:r w:rsidR="00A50F08">
        <w:t>data obtained in part 3.3. A new disease strain that is being studied will have different phase data and result availability than a disease that has been studied for decades.</w:t>
      </w:r>
      <w:r>
        <w:t xml:space="preserve"> COVID-19 </w:t>
      </w:r>
      <w:r w:rsidR="00A50F08">
        <w:t>studies exploded in 2020</w:t>
      </w:r>
      <w:r>
        <w:t>,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794F2849" w14:textId="5E81780C" w:rsidR="008F113E" w:rsidRDefault="00834BB1" w:rsidP="00396646">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FEB8619" w14:textId="77777777" w:rsidR="008F113E" w:rsidRDefault="008F113E" w:rsidP="00396646"/>
    <w:p w14:paraId="74EFD282" w14:textId="2F6BC940" w:rsidR="008F113E" w:rsidRDefault="008F113E" w:rsidP="00396646"/>
    <w:p w14:paraId="55147830" w14:textId="0D539E69" w:rsidR="008F113E" w:rsidRDefault="008F113E" w:rsidP="00396646"/>
    <w:p w14:paraId="5BF0D4DF" w14:textId="412347BA" w:rsidR="008F113E" w:rsidRDefault="008F113E" w:rsidP="00396646"/>
    <w:p w14:paraId="018386D0" w14:textId="2DD77DAE" w:rsidR="008F113E" w:rsidRDefault="008F113E" w:rsidP="00396646"/>
    <w:p w14:paraId="3EFD44D1" w14:textId="1545EBA5" w:rsidR="008F113E" w:rsidRDefault="008F113E" w:rsidP="00396646"/>
    <w:p w14:paraId="366DCF57" w14:textId="6502F566" w:rsidR="008F113E" w:rsidRDefault="008F113E" w:rsidP="00396646"/>
    <w:p w14:paraId="3D8D2937" w14:textId="6B72F0AE" w:rsidR="00C90D7F" w:rsidRDefault="00C90D7F" w:rsidP="00396646"/>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248F166B" w14:textId="77777777" w:rsidR="008F113E" w:rsidRDefault="008F113E" w:rsidP="008F113E">
          <w:pPr>
            <w:pStyle w:val="Heading1"/>
          </w:pPr>
          <w:r>
            <w:t>Bibliography</w:t>
          </w:r>
        </w:p>
        <w:sdt>
          <w:sdtPr>
            <w:rPr>
              <w:rFonts w:asciiTheme="minorHAnsi" w:eastAsiaTheme="minorHAnsi" w:hAnsiTheme="minorHAnsi" w:cstheme="minorBidi"/>
              <w:color w:val="000000" w:themeColor="text1"/>
              <w:lang w:eastAsia="ja-JP"/>
            </w:rPr>
            <w:id w:val="111145805"/>
            <w:bibliography/>
          </w:sdtPr>
          <w:sdtEndPr>
            <w:rPr>
              <w:color w:val="auto"/>
              <w:lang w:eastAsia="en-US"/>
            </w:rPr>
          </w:sdtEndPr>
          <w:sdtContent>
            <w:p w14:paraId="12559B08" w14:textId="504C33AF" w:rsidR="00F86E7D" w:rsidRPr="00F86E7D" w:rsidRDefault="00F86E7D" w:rsidP="00F86E7D">
              <w:pPr>
                <w:pStyle w:val="NormalWeb"/>
                <w:numPr>
                  <w:ilvl w:val="0"/>
                  <w:numId w:val="7"/>
                </w:numPr>
              </w:pPr>
              <w:r w:rsidRPr="00F86E7D">
                <w:t xml:space="preserve">“Glossary of Common Site Terms,” </w:t>
              </w:r>
              <w:r w:rsidRPr="00F86E7D">
                <w:rPr>
                  <w:i/>
                  <w:iCs/>
                </w:rPr>
                <w:t>ClinicalTrials.gov</w:t>
              </w:r>
              <w:r w:rsidRPr="00F86E7D">
                <w:t xml:space="preserve">. [Online]. Available: https://clinicaltrials.gov/ct2/about-studies/glossary. [Accessed: 26-Feb-2021]. </w:t>
              </w:r>
            </w:p>
            <w:p w14:paraId="792947E3" w14:textId="6D328B79"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w:t>
              </w:r>
              <w:proofErr w:type="spellStart"/>
              <w:r w:rsidRPr="00F86E7D">
                <w:rPr>
                  <w:rFonts w:ascii="Times New Roman" w:eastAsia="Times New Roman" w:hAnsi="Times New Roman" w:cs="Times New Roman"/>
                </w:rPr>
                <w:t>Havrix</w:t>
              </w:r>
              <w:proofErr w:type="spellEnd"/>
              <w:r w:rsidRPr="00F86E7D">
                <w:rPr>
                  <w:rFonts w:ascii="Times New Roman" w:eastAsia="Times New Roman" w:hAnsi="Times New Roman" w:cs="Times New Roman"/>
                </w:rPr>
                <w:t xml:space="preserve">™ 720 Junior, one dose vial,” </w:t>
              </w:r>
              <w:r w:rsidRPr="00F86E7D">
                <w:rPr>
                  <w:rFonts w:ascii="Times New Roman" w:eastAsia="Times New Roman" w:hAnsi="Times New Roman" w:cs="Times New Roman"/>
                  <w:i/>
                  <w:iCs/>
                </w:rPr>
                <w:t>World Health Organization</w:t>
              </w:r>
              <w:r w:rsidRPr="00F86E7D">
                <w:rPr>
                  <w:rFonts w:ascii="Times New Roman" w:eastAsia="Times New Roman" w:hAnsi="Times New Roman" w:cs="Times New Roman"/>
                </w:rPr>
                <w:t xml:space="preserve">, 20-Mar-2015. [Online]. Available: https://www.who.int/immunization_standards/vaccine_quality/pq_267_hepa_1dose_gsk/en/. [Accessed: 27-Feb-2021]. </w:t>
              </w:r>
            </w:p>
            <w:p w14:paraId="3FB7C255" w14:textId="3FCFF5B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“json - JSON encoder and decoder¶,” </w:t>
              </w:r>
              <w:r w:rsidRPr="00F86E7D">
                <w:rPr>
                  <w:rFonts w:ascii="Times New Roman" w:eastAsia="Times New Roman" w:hAnsi="Times New Roman" w:cs="Times New Roman"/>
                  <w:i/>
                  <w:iCs/>
                </w:rPr>
                <w:t>json - JSON encoder and decoder - Python 3.9.2 documentation</w:t>
              </w:r>
              <w:r w:rsidRPr="00F86E7D">
                <w:rPr>
                  <w:rFonts w:ascii="Times New Roman" w:eastAsia="Times New Roman" w:hAnsi="Times New Roman" w:cs="Times New Roman"/>
                </w:rPr>
                <w:t xml:space="preserve">. [Online]. Available: https://docs.python.org/3/library/json.html. [Accessed: 26-Feb-2021]. </w:t>
              </w:r>
            </w:p>
            <w:p w14:paraId="07A6FBE4" w14:textId="26D52113"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proofErr w:type="spellStart"/>
              <w:r w:rsidRPr="00F86E7D">
                <w:rPr>
                  <w:rFonts w:ascii="Times New Roman" w:eastAsia="Times New Roman" w:hAnsi="Times New Roman" w:cs="Times New Roman"/>
                </w:rPr>
                <w:t>Martinblech</w:t>
              </w:r>
              <w:proofErr w:type="spellEnd"/>
              <w:r w:rsidRPr="00F86E7D">
                <w:rPr>
                  <w:rFonts w:ascii="Times New Roman" w:eastAsia="Times New Roman" w:hAnsi="Times New Roman" w:cs="Times New Roman"/>
                </w:rPr>
                <w:t>, “</w:t>
              </w:r>
              <w:proofErr w:type="spellStart"/>
              <w:r w:rsidRPr="00F86E7D">
                <w:rPr>
                  <w:rFonts w:ascii="Times New Roman" w:eastAsia="Times New Roman" w:hAnsi="Times New Roman" w:cs="Times New Roman"/>
                </w:rPr>
                <w:t>xmltodict</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[Online]. Available: https://github.com/martinblech/xmltodict. [Accessed: 26-Feb-2021]. </w:t>
              </w:r>
            </w:p>
            <w:p w14:paraId="2C1A1878" w14:textId="618E7D5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“National Comprehensive Cancer Network,” </w:t>
              </w:r>
              <w:r w:rsidRPr="00F86E7D">
                <w:rPr>
                  <w:rFonts w:ascii="Times New Roman" w:eastAsia="Times New Roman" w:hAnsi="Times New Roman" w:cs="Times New Roman"/>
                  <w:i/>
                  <w:iCs/>
                </w:rPr>
                <w:t>Phases of clinical trials</w:t>
              </w:r>
              <w:r w:rsidRPr="00F86E7D">
                <w:rPr>
                  <w:rFonts w:ascii="Times New Roman" w:eastAsia="Times New Roman" w:hAnsi="Times New Roman" w:cs="Times New Roman"/>
                </w:rPr>
                <w:t xml:space="preserve">. [Online]. Available: https://www.nccn.org/patients/resources/clinical_trials/phases.aspx. [Accessed: 26-Feb-2021]. </w:t>
              </w:r>
            </w:p>
            <w:p w14:paraId="002987BE" w14:textId="1DDC19AD"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“Our COVID-19 Rapid Response Program,” </w:t>
              </w:r>
              <w:r w:rsidRPr="00F86E7D">
                <w:rPr>
                  <w:rFonts w:ascii="Times New Roman" w:eastAsia="Times New Roman" w:hAnsi="Times New Roman" w:cs="Times New Roman"/>
                  <w:i/>
                  <w:iCs/>
                </w:rPr>
                <w:t>Regeneron's COVID-19 Response Efforts</w:t>
              </w:r>
              <w:r w:rsidRPr="00F86E7D">
                <w:rPr>
                  <w:rFonts w:ascii="Times New Roman" w:eastAsia="Times New Roman" w:hAnsi="Times New Roman" w:cs="Times New Roman"/>
                </w:rPr>
                <w:t xml:space="preserve">. [Online]. Available: https://www.regeneron.com/covid19. [Accessed: 26-Feb-2021]. </w:t>
              </w:r>
            </w:p>
            <w:p w14:paraId="544936D3" w14:textId="035D3B81"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Python, “python/</w:t>
              </w:r>
              <w:proofErr w:type="spellStart"/>
              <w:r w:rsidRPr="00F86E7D">
                <w:rPr>
                  <w:rFonts w:ascii="Times New Roman" w:eastAsia="Times New Roman" w:hAnsi="Times New Roman" w:cs="Times New Roman"/>
                </w:rPr>
                <w:t>cpython</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07-Apr-2020. [Online]. Available: https://github.com/python/cpython/blob/3.9/Lib/os.py. [Accessed: 26-Feb-2021]. </w:t>
              </w:r>
            </w:p>
            <w:p w14:paraId="17C91C57" w14:textId="2D432F90"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“Welcome to GSK Clinical Trials,” </w:t>
              </w:r>
              <w:r w:rsidRPr="00F86E7D">
                <w:rPr>
                  <w:rFonts w:ascii="Times New Roman" w:eastAsia="Times New Roman" w:hAnsi="Times New Roman" w:cs="Times New Roman"/>
                  <w:i/>
                  <w:iCs/>
                </w:rPr>
                <w:t>GSK Study Register</w:t>
              </w:r>
              <w:r w:rsidRPr="00F86E7D">
                <w:rPr>
                  <w:rFonts w:ascii="Times New Roman" w:eastAsia="Times New Roman" w:hAnsi="Times New Roman" w:cs="Times New Roman"/>
                </w:rPr>
                <w:t xml:space="preserve">. [Online]. Available: https://www.gsk-studyregister.com/en/. [Accessed: 26-Feb-2021]. </w:t>
              </w:r>
            </w:p>
            <w:p w14:paraId="681D16E7" w14:textId="1950F5BF" w:rsidR="008F113E" w:rsidRDefault="008F113E" w:rsidP="00F86E7D">
              <w:pPr>
                <w:pStyle w:val="NormalWeb"/>
              </w:pPr>
            </w:p>
            <w:p w14:paraId="3F048A4A" w14:textId="77777777" w:rsidR="008F113E" w:rsidRDefault="00C00472" w:rsidP="008F113E"/>
          </w:sdtContent>
        </w:sdt>
      </w:sdtContent>
    </w:sdt>
    <w:p w14:paraId="1037380E" w14:textId="4F140CD4" w:rsidR="00DA0C57" w:rsidRPr="0063531B" w:rsidRDefault="00DA0C57" w:rsidP="00DA0C57"/>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8B059" w14:textId="77777777" w:rsidR="00C00472" w:rsidRDefault="00C00472" w:rsidP="000D08EA">
      <w:r>
        <w:separator/>
      </w:r>
    </w:p>
  </w:endnote>
  <w:endnote w:type="continuationSeparator" w:id="0">
    <w:p w14:paraId="2EF50145" w14:textId="77777777" w:rsidR="00C00472" w:rsidRDefault="00C00472"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19EC4" w14:textId="77777777" w:rsidR="00C00472" w:rsidRDefault="00C00472" w:rsidP="000D08EA">
      <w:r>
        <w:separator/>
      </w:r>
    </w:p>
  </w:footnote>
  <w:footnote w:type="continuationSeparator" w:id="0">
    <w:p w14:paraId="1C9DCCB8" w14:textId="77777777" w:rsidR="00C00472" w:rsidRDefault="00C00472"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667D1"/>
    <w:rsid w:val="00095D40"/>
    <w:rsid w:val="000D08EA"/>
    <w:rsid w:val="000D6FF4"/>
    <w:rsid w:val="00112310"/>
    <w:rsid w:val="0014216E"/>
    <w:rsid w:val="00151C5B"/>
    <w:rsid w:val="00155482"/>
    <w:rsid w:val="00164E8C"/>
    <w:rsid w:val="00167F1B"/>
    <w:rsid w:val="00177E56"/>
    <w:rsid w:val="0019027B"/>
    <w:rsid w:val="001E6E8A"/>
    <w:rsid w:val="001F28C2"/>
    <w:rsid w:val="001F3409"/>
    <w:rsid w:val="0020127C"/>
    <w:rsid w:val="00216FFC"/>
    <w:rsid w:val="002224FC"/>
    <w:rsid w:val="00265FB9"/>
    <w:rsid w:val="00271692"/>
    <w:rsid w:val="002B0413"/>
    <w:rsid w:val="002B135B"/>
    <w:rsid w:val="002E08C1"/>
    <w:rsid w:val="003019FF"/>
    <w:rsid w:val="00327BBB"/>
    <w:rsid w:val="003412FF"/>
    <w:rsid w:val="0034777B"/>
    <w:rsid w:val="00375780"/>
    <w:rsid w:val="00396477"/>
    <w:rsid w:val="00396646"/>
    <w:rsid w:val="003B7B6C"/>
    <w:rsid w:val="003D06E0"/>
    <w:rsid w:val="003E68ED"/>
    <w:rsid w:val="00404A3B"/>
    <w:rsid w:val="00406854"/>
    <w:rsid w:val="004333E3"/>
    <w:rsid w:val="004547E5"/>
    <w:rsid w:val="00462CB7"/>
    <w:rsid w:val="00463025"/>
    <w:rsid w:val="00470CAC"/>
    <w:rsid w:val="004A494E"/>
    <w:rsid w:val="004B2984"/>
    <w:rsid w:val="004C3316"/>
    <w:rsid w:val="004C4511"/>
    <w:rsid w:val="004C63BD"/>
    <w:rsid w:val="004E0EDF"/>
    <w:rsid w:val="004E4DA1"/>
    <w:rsid w:val="00520F11"/>
    <w:rsid w:val="005231A3"/>
    <w:rsid w:val="00523F40"/>
    <w:rsid w:val="00553856"/>
    <w:rsid w:val="0057225D"/>
    <w:rsid w:val="00576A9B"/>
    <w:rsid w:val="0058023A"/>
    <w:rsid w:val="005857C2"/>
    <w:rsid w:val="0058662E"/>
    <w:rsid w:val="005A1D17"/>
    <w:rsid w:val="005A61B1"/>
    <w:rsid w:val="005B0D73"/>
    <w:rsid w:val="005B519B"/>
    <w:rsid w:val="005D495C"/>
    <w:rsid w:val="005E056D"/>
    <w:rsid w:val="0060181F"/>
    <w:rsid w:val="00622005"/>
    <w:rsid w:val="0063531B"/>
    <w:rsid w:val="00637065"/>
    <w:rsid w:val="006623C6"/>
    <w:rsid w:val="0067700A"/>
    <w:rsid w:val="006A2250"/>
    <w:rsid w:val="006A57A9"/>
    <w:rsid w:val="006A6686"/>
    <w:rsid w:val="006B431E"/>
    <w:rsid w:val="006B5FFF"/>
    <w:rsid w:val="006C1FF7"/>
    <w:rsid w:val="006D5341"/>
    <w:rsid w:val="006E0B63"/>
    <w:rsid w:val="006E3BE7"/>
    <w:rsid w:val="006E5F79"/>
    <w:rsid w:val="006E6078"/>
    <w:rsid w:val="007049C4"/>
    <w:rsid w:val="00722AD9"/>
    <w:rsid w:val="007230B5"/>
    <w:rsid w:val="00726F8E"/>
    <w:rsid w:val="0073779B"/>
    <w:rsid w:val="0078265A"/>
    <w:rsid w:val="00787598"/>
    <w:rsid w:val="00787C26"/>
    <w:rsid w:val="00797491"/>
    <w:rsid w:val="007A5B6D"/>
    <w:rsid w:val="007A7D57"/>
    <w:rsid w:val="007D00DC"/>
    <w:rsid w:val="007D3178"/>
    <w:rsid w:val="007E4A74"/>
    <w:rsid w:val="007E799C"/>
    <w:rsid w:val="007F5872"/>
    <w:rsid w:val="00802913"/>
    <w:rsid w:val="008073CA"/>
    <w:rsid w:val="00813EC6"/>
    <w:rsid w:val="00814DE6"/>
    <w:rsid w:val="008256AC"/>
    <w:rsid w:val="00825FE0"/>
    <w:rsid w:val="00834BB1"/>
    <w:rsid w:val="00835C99"/>
    <w:rsid w:val="00845C33"/>
    <w:rsid w:val="00861AC9"/>
    <w:rsid w:val="008C351C"/>
    <w:rsid w:val="008F113E"/>
    <w:rsid w:val="0090199D"/>
    <w:rsid w:val="00922017"/>
    <w:rsid w:val="00941577"/>
    <w:rsid w:val="00945195"/>
    <w:rsid w:val="00956892"/>
    <w:rsid w:val="0096672E"/>
    <w:rsid w:val="0097341B"/>
    <w:rsid w:val="00973813"/>
    <w:rsid w:val="00994CAF"/>
    <w:rsid w:val="009A379C"/>
    <w:rsid w:val="009A6C3A"/>
    <w:rsid w:val="009B2C83"/>
    <w:rsid w:val="009D1DE2"/>
    <w:rsid w:val="009D5EAE"/>
    <w:rsid w:val="009E7AA6"/>
    <w:rsid w:val="009F75DA"/>
    <w:rsid w:val="00A04FD6"/>
    <w:rsid w:val="00A079B7"/>
    <w:rsid w:val="00A23F10"/>
    <w:rsid w:val="00A50F08"/>
    <w:rsid w:val="00A54A49"/>
    <w:rsid w:val="00A64A4F"/>
    <w:rsid w:val="00AA6F79"/>
    <w:rsid w:val="00AC5580"/>
    <w:rsid w:val="00AE0DF9"/>
    <w:rsid w:val="00AE36FA"/>
    <w:rsid w:val="00AF3B5F"/>
    <w:rsid w:val="00B03E58"/>
    <w:rsid w:val="00B118C6"/>
    <w:rsid w:val="00B200B5"/>
    <w:rsid w:val="00B538A0"/>
    <w:rsid w:val="00B5664D"/>
    <w:rsid w:val="00B862B7"/>
    <w:rsid w:val="00B92E6A"/>
    <w:rsid w:val="00BA1238"/>
    <w:rsid w:val="00BA519C"/>
    <w:rsid w:val="00BB2EE2"/>
    <w:rsid w:val="00BC19A3"/>
    <w:rsid w:val="00BC7D8B"/>
    <w:rsid w:val="00C00472"/>
    <w:rsid w:val="00C025A1"/>
    <w:rsid w:val="00C21870"/>
    <w:rsid w:val="00C34F52"/>
    <w:rsid w:val="00C375F3"/>
    <w:rsid w:val="00C4338B"/>
    <w:rsid w:val="00C530BA"/>
    <w:rsid w:val="00C669B9"/>
    <w:rsid w:val="00C823C7"/>
    <w:rsid w:val="00C90D7F"/>
    <w:rsid w:val="00CA179B"/>
    <w:rsid w:val="00CA4EBD"/>
    <w:rsid w:val="00CC4F0A"/>
    <w:rsid w:val="00CD5634"/>
    <w:rsid w:val="00CD7010"/>
    <w:rsid w:val="00CF4B09"/>
    <w:rsid w:val="00D02A7A"/>
    <w:rsid w:val="00D2009A"/>
    <w:rsid w:val="00D25389"/>
    <w:rsid w:val="00D45D85"/>
    <w:rsid w:val="00D571DC"/>
    <w:rsid w:val="00D6579B"/>
    <w:rsid w:val="00D67343"/>
    <w:rsid w:val="00D75DF7"/>
    <w:rsid w:val="00DA0C57"/>
    <w:rsid w:val="00DC285F"/>
    <w:rsid w:val="00DC4F64"/>
    <w:rsid w:val="00DE30AB"/>
    <w:rsid w:val="00DF6E16"/>
    <w:rsid w:val="00E05D57"/>
    <w:rsid w:val="00E4288A"/>
    <w:rsid w:val="00E57207"/>
    <w:rsid w:val="00E60C4C"/>
    <w:rsid w:val="00E65722"/>
    <w:rsid w:val="00EA356B"/>
    <w:rsid w:val="00EA4536"/>
    <w:rsid w:val="00EC6608"/>
    <w:rsid w:val="00ED77C1"/>
    <w:rsid w:val="00EE6E3B"/>
    <w:rsid w:val="00F118DE"/>
    <w:rsid w:val="00F17AB1"/>
    <w:rsid w:val="00F53002"/>
    <w:rsid w:val="00F644CE"/>
    <w:rsid w:val="00F766B9"/>
    <w:rsid w:val="00F84367"/>
    <w:rsid w:val="00F84391"/>
    <w:rsid w:val="00F86E7D"/>
    <w:rsid w:val="00F8737E"/>
    <w:rsid w:val="00F973E0"/>
    <w:rsid w:val="00FA3FCA"/>
    <w:rsid w:val="00FB6480"/>
    <w:rsid w:val="00FB7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hart" Target="charts/chart25.xml"/><Relationship Id="rId50" Type="http://schemas.openxmlformats.org/officeDocument/2006/relationships/chart" Target="charts/chart28.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chart" Target="charts/chart2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52"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chart" Target="charts/chart26.xml"/><Relationship Id="rId8" Type="http://schemas.openxmlformats.org/officeDocument/2006/relationships/chart" Target="charts/chart2.xml"/><Relationship Id="rId51" Type="http://schemas.openxmlformats.org/officeDocument/2006/relationships/chart" Target="charts/chart29.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chart" Target="charts/chart24.xml"/><Relationship Id="rId20" Type="http://schemas.openxmlformats.org/officeDocument/2006/relationships/chart" Target="charts/chart14.xm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E1C0-474A-838D-2CBAA966B9DF}"/>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E1C0-474A-838D-2CBAA966B9DF}"/>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4B29-4DEF-950D-F44C925EBEFE}"/>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4047-41ED-BCB3-FC67517903B8}"/>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9934-45A5-B4F3-6A5A523BC592}"/>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A161-4364-8860-4AD77CA5EDFC}"/>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D571-419E-88D0-081E1D78A096}"/>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D027-43BA-9327-14F97DE6D2DD}"/>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04FF-4FE6-A79C-5430F445A380}"/>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A66-4B2C-8CF7-5D3303068FA9}"/>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24</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Jong Yoon</cp:lastModifiedBy>
  <cp:revision>152</cp:revision>
  <dcterms:created xsi:type="dcterms:W3CDTF">2021-02-21T18:21:00Z</dcterms:created>
  <dcterms:modified xsi:type="dcterms:W3CDTF">2021-02-28T03:01:00Z</dcterms:modified>
</cp:coreProperties>
</file>