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5096" w:rsidRPr="00BC706B" w:rsidRDefault="00BC706B" w:rsidP="00701E15">
      <w:pPr>
        <w:pStyle w:val="Title"/>
      </w:pPr>
      <w:r>
        <w:t xml:space="preserve">SFTR </w:t>
      </w:r>
      <w:r w:rsidR="00E45096" w:rsidRPr="00BC706B">
        <w:t>Good to Trade</w:t>
      </w:r>
      <w:r>
        <w:t xml:space="preserve"> (GTT)</w:t>
      </w:r>
      <w:r w:rsidR="00E45096" w:rsidRPr="00BC706B">
        <w:t xml:space="preserve"> </w:t>
      </w:r>
      <w:r w:rsidR="00701E15">
        <w:t>U</w:t>
      </w:r>
      <w:r w:rsidR="003664AC">
        <w:t xml:space="preserve">ser </w:t>
      </w:r>
      <w:r w:rsidR="00701E15">
        <w:t>A</w:t>
      </w:r>
      <w:r w:rsidR="003664AC">
        <w:t>pplication</w:t>
      </w:r>
      <w:r w:rsidR="00E45096" w:rsidRPr="00BC706B">
        <w:t xml:space="preserve"> 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01202674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BB45F2" w:rsidRDefault="00BB45F2">
          <w:pPr>
            <w:pStyle w:val="TOCHeading"/>
          </w:pPr>
          <w:r>
            <w:t>Contents</w:t>
          </w:r>
        </w:p>
        <w:p w:rsidR="002E4311" w:rsidRDefault="00BB45F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75882698" w:history="1">
            <w:r w:rsidR="002E4311" w:rsidRPr="00C45C25">
              <w:rPr>
                <w:rStyle w:val="Hyperlink"/>
                <w:noProof/>
              </w:rPr>
              <w:t>Background</w:t>
            </w:r>
            <w:r w:rsidR="002E4311">
              <w:rPr>
                <w:noProof/>
                <w:webHidden/>
              </w:rPr>
              <w:tab/>
            </w:r>
            <w:r w:rsidR="002E4311">
              <w:rPr>
                <w:noProof/>
                <w:webHidden/>
              </w:rPr>
              <w:fldChar w:fldCharType="begin"/>
            </w:r>
            <w:r w:rsidR="002E4311">
              <w:rPr>
                <w:noProof/>
                <w:webHidden/>
              </w:rPr>
              <w:instrText xml:space="preserve"> PAGEREF _Toc75882698 \h </w:instrText>
            </w:r>
            <w:r w:rsidR="002E4311">
              <w:rPr>
                <w:noProof/>
                <w:webHidden/>
              </w:rPr>
            </w:r>
            <w:r w:rsidR="002E4311">
              <w:rPr>
                <w:noProof/>
                <w:webHidden/>
              </w:rPr>
              <w:fldChar w:fldCharType="separate"/>
            </w:r>
            <w:r w:rsidR="002E4311">
              <w:rPr>
                <w:noProof/>
                <w:webHidden/>
              </w:rPr>
              <w:t>1</w:t>
            </w:r>
            <w:r w:rsidR="002E4311">
              <w:rPr>
                <w:noProof/>
                <w:webHidden/>
              </w:rPr>
              <w:fldChar w:fldCharType="end"/>
            </w:r>
          </w:hyperlink>
        </w:p>
        <w:p w:rsidR="002E4311" w:rsidRDefault="007F340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5882699" w:history="1">
            <w:r w:rsidR="002E4311" w:rsidRPr="00C45C25">
              <w:rPr>
                <w:rStyle w:val="Hyperlink"/>
                <w:noProof/>
              </w:rPr>
              <w:t>In-Scope Check</w:t>
            </w:r>
            <w:r w:rsidR="002E4311">
              <w:rPr>
                <w:noProof/>
                <w:webHidden/>
              </w:rPr>
              <w:tab/>
            </w:r>
            <w:r w:rsidR="002E4311">
              <w:rPr>
                <w:noProof/>
                <w:webHidden/>
              </w:rPr>
              <w:fldChar w:fldCharType="begin"/>
            </w:r>
            <w:r w:rsidR="002E4311">
              <w:rPr>
                <w:noProof/>
                <w:webHidden/>
              </w:rPr>
              <w:instrText xml:space="preserve"> PAGEREF _Toc75882699 \h </w:instrText>
            </w:r>
            <w:r w:rsidR="002E4311">
              <w:rPr>
                <w:noProof/>
                <w:webHidden/>
              </w:rPr>
            </w:r>
            <w:r w:rsidR="002E4311">
              <w:rPr>
                <w:noProof/>
                <w:webHidden/>
              </w:rPr>
              <w:fldChar w:fldCharType="separate"/>
            </w:r>
            <w:r w:rsidR="002E4311">
              <w:rPr>
                <w:noProof/>
                <w:webHidden/>
              </w:rPr>
              <w:t>1</w:t>
            </w:r>
            <w:r w:rsidR="002E4311">
              <w:rPr>
                <w:noProof/>
                <w:webHidden/>
              </w:rPr>
              <w:fldChar w:fldCharType="end"/>
            </w:r>
          </w:hyperlink>
        </w:p>
        <w:p w:rsidR="002E4311" w:rsidRDefault="007F340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5882700" w:history="1">
            <w:r w:rsidR="002E4311" w:rsidRPr="00C45C25">
              <w:rPr>
                <w:rStyle w:val="Hyperlink"/>
                <w:noProof/>
              </w:rPr>
              <w:t>GTT Check</w:t>
            </w:r>
            <w:r w:rsidR="002E4311">
              <w:rPr>
                <w:noProof/>
                <w:webHidden/>
              </w:rPr>
              <w:tab/>
            </w:r>
            <w:r w:rsidR="002E4311">
              <w:rPr>
                <w:noProof/>
                <w:webHidden/>
              </w:rPr>
              <w:fldChar w:fldCharType="begin"/>
            </w:r>
            <w:r w:rsidR="002E4311">
              <w:rPr>
                <w:noProof/>
                <w:webHidden/>
              </w:rPr>
              <w:instrText xml:space="preserve"> PAGEREF _Toc75882700 \h </w:instrText>
            </w:r>
            <w:r w:rsidR="002E4311">
              <w:rPr>
                <w:noProof/>
                <w:webHidden/>
              </w:rPr>
            </w:r>
            <w:r w:rsidR="002E4311">
              <w:rPr>
                <w:noProof/>
                <w:webHidden/>
              </w:rPr>
              <w:fldChar w:fldCharType="separate"/>
            </w:r>
            <w:r w:rsidR="002E4311">
              <w:rPr>
                <w:noProof/>
                <w:webHidden/>
              </w:rPr>
              <w:t>2</w:t>
            </w:r>
            <w:r w:rsidR="002E4311">
              <w:rPr>
                <w:noProof/>
                <w:webHidden/>
              </w:rPr>
              <w:fldChar w:fldCharType="end"/>
            </w:r>
          </w:hyperlink>
        </w:p>
        <w:p w:rsidR="002E4311" w:rsidRDefault="007F340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5882701" w:history="1">
            <w:r w:rsidR="002E4311" w:rsidRPr="00C45C25">
              <w:rPr>
                <w:rStyle w:val="Hyperlink"/>
                <w:noProof/>
              </w:rPr>
              <w:t>The Challenge</w:t>
            </w:r>
            <w:r w:rsidR="002E4311">
              <w:rPr>
                <w:noProof/>
                <w:webHidden/>
              </w:rPr>
              <w:tab/>
            </w:r>
            <w:r w:rsidR="002E4311">
              <w:rPr>
                <w:noProof/>
                <w:webHidden/>
              </w:rPr>
              <w:fldChar w:fldCharType="begin"/>
            </w:r>
            <w:r w:rsidR="002E4311">
              <w:rPr>
                <w:noProof/>
                <w:webHidden/>
              </w:rPr>
              <w:instrText xml:space="preserve"> PAGEREF _Toc75882701 \h </w:instrText>
            </w:r>
            <w:r w:rsidR="002E4311">
              <w:rPr>
                <w:noProof/>
                <w:webHidden/>
              </w:rPr>
            </w:r>
            <w:r w:rsidR="002E4311">
              <w:rPr>
                <w:noProof/>
                <w:webHidden/>
              </w:rPr>
              <w:fldChar w:fldCharType="separate"/>
            </w:r>
            <w:r w:rsidR="002E4311">
              <w:rPr>
                <w:noProof/>
                <w:webHidden/>
              </w:rPr>
              <w:t>3</w:t>
            </w:r>
            <w:r w:rsidR="002E4311">
              <w:rPr>
                <w:noProof/>
                <w:webHidden/>
              </w:rPr>
              <w:fldChar w:fldCharType="end"/>
            </w:r>
          </w:hyperlink>
        </w:p>
        <w:p w:rsidR="002E4311" w:rsidRDefault="007F340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5882702" w:history="1">
            <w:r w:rsidR="002E4311" w:rsidRPr="00C45C25">
              <w:rPr>
                <w:rStyle w:val="Hyperlink"/>
                <w:noProof/>
              </w:rPr>
              <w:t>Suggested System Components</w:t>
            </w:r>
            <w:r w:rsidR="002E4311">
              <w:rPr>
                <w:noProof/>
                <w:webHidden/>
              </w:rPr>
              <w:tab/>
            </w:r>
            <w:r w:rsidR="002E4311">
              <w:rPr>
                <w:noProof/>
                <w:webHidden/>
              </w:rPr>
              <w:fldChar w:fldCharType="begin"/>
            </w:r>
            <w:r w:rsidR="002E4311">
              <w:rPr>
                <w:noProof/>
                <w:webHidden/>
              </w:rPr>
              <w:instrText xml:space="preserve"> PAGEREF _Toc75882702 \h </w:instrText>
            </w:r>
            <w:r w:rsidR="002E4311">
              <w:rPr>
                <w:noProof/>
                <w:webHidden/>
              </w:rPr>
            </w:r>
            <w:r w:rsidR="002E4311">
              <w:rPr>
                <w:noProof/>
                <w:webHidden/>
              </w:rPr>
              <w:fldChar w:fldCharType="separate"/>
            </w:r>
            <w:r w:rsidR="002E4311">
              <w:rPr>
                <w:noProof/>
                <w:webHidden/>
              </w:rPr>
              <w:t>3</w:t>
            </w:r>
            <w:r w:rsidR="002E4311">
              <w:rPr>
                <w:noProof/>
                <w:webHidden/>
              </w:rPr>
              <w:fldChar w:fldCharType="end"/>
            </w:r>
          </w:hyperlink>
        </w:p>
        <w:p w:rsidR="002E4311" w:rsidRDefault="007F340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5882703" w:history="1">
            <w:r w:rsidR="002E4311" w:rsidRPr="00C45C25">
              <w:rPr>
                <w:rStyle w:val="Hyperlink"/>
                <w:noProof/>
              </w:rPr>
              <w:t>Challenge Judging Points:</w:t>
            </w:r>
            <w:r w:rsidR="002E4311">
              <w:rPr>
                <w:noProof/>
                <w:webHidden/>
              </w:rPr>
              <w:tab/>
            </w:r>
            <w:r w:rsidR="002E4311">
              <w:rPr>
                <w:noProof/>
                <w:webHidden/>
              </w:rPr>
              <w:fldChar w:fldCharType="begin"/>
            </w:r>
            <w:r w:rsidR="002E4311">
              <w:rPr>
                <w:noProof/>
                <w:webHidden/>
              </w:rPr>
              <w:instrText xml:space="preserve"> PAGEREF _Toc75882703 \h </w:instrText>
            </w:r>
            <w:r w:rsidR="002E4311">
              <w:rPr>
                <w:noProof/>
                <w:webHidden/>
              </w:rPr>
            </w:r>
            <w:r w:rsidR="002E4311">
              <w:rPr>
                <w:noProof/>
                <w:webHidden/>
              </w:rPr>
              <w:fldChar w:fldCharType="separate"/>
            </w:r>
            <w:r w:rsidR="002E4311">
              <w:rPr>
                <w:noProof/>
                <w:webHidden/>
              </w:rPr>
              <w:t>4</w:t>
            </w:r>
            <w:r w:rsidR="002E4311">
              <w:rPr>
                <w:noProof/>
                <w:webHidden/>
              </w:rPr>
              <w:fldChar w:fldCharType="end"/>
            </w:r>
          </w:hyperlink>
        </w:p>
        <w:p w:rsidR="002E4311" w:rsidRDefault="007F340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5882704" w:history="1">
            <w:r w:rsidR="002E4311" w:rsidRPr="00C45C25">
              <w:rPr>
                <w:rStyle w:val="Hyperlink"/>
                <w:noProof/>
              </w:rPr>
              <w:t>Provided Data</w:t>
            </w:r>
            <w:r w:rsidR="002E4311">
              <w:rPr>
                <w:noProof/>
                <w:webHidden/>
              </w:rPr>
              <w:tab/>
            </w:r>
            <w:r w:rsidR="002E4311">
              <w:rPr>
                <w:noProof/>
                <w:webHidden/>
              </w:rPr>
              <w:fldChar w:fldCharType="begin"/>
            </w:r>
            <w:r w:rsidR="002E4311">
              <w:rPr>
                <w:noProof/>
                <w:webHidden/>
              </w:rPr>
              <w:instrText xml:space="preserve"> PAGEREF _Toc75882704 \h </w:instrText>
            </w:r>
            <w:r w:rsidR="002E4311">
              <w:rPr>
                <w:noProof/>
                <w:webHidden/>
              </w:rPr>
            </w:r>
            <w:r w:rsidR="002E4311">
              <w:rPr>
                <w:noProof/>
                <w:webHidden/>
              </w:rPr>
              <w:fldChar w:fldCharType="separate"/>
            </w:r>
            <w:r w:rsidR="002E4311">
              <w:rPr>
                <w:noProof/>
                <w:webHidden/>
              </w:rPr>
              <w:t>4</w:t>
            </w:r>
            <w:r w:rsidR="002E4311">
              <w:rPr>
                <w:noProof/>
                <w:webHidden/>
              </w:rPr>
              <w:fldChar w:fldCharType="end"/>
            </w:r>
          </w:hyperlink>
        </w:p>
        <w:p w:rsidR="002E4311" w:rsidRDefault="007F340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5882705" w:history="1">
            <w:r w:rsidR="002E4311" w:rsidRPr="00C45C25">
              <w:rPr>
                <w:rStyle w:val="Hyperlink"/>
                <w:noProof/>
              </w:rPr>
              <w:t>Trade Data File (gtt_trade_data.json)</w:t>
            </w:r>
            <w:r w:rsidR="002E4311">
              <w:rPr>
                <w:noProof/>
                <w:webHidden/>
              </w:rPr>
              <w:tab/>
            </w:r>
            <w:r w:rsidR="002E4311">
              <w:rPr>
                <w:noProof/>
                <w:webHidden/>
              </w:rPr>
              <w:fldChar w:fldCharType="begin"/>
            </w:r>
            <w:r w:rsidR="002E4311">
              <w:rPr>
                <w:noProof/>
                <w:webHidden/>
              </w:rPr>
              <w:instrText xml:space="preserve"> PAGEREF _Toc75882705 \h </w:instrText>
            </w:r>
            <w:r w:rsidR="002E4311">
              <w:rPr>
                <w:noProof/>
                <w:webHidden/>
              </w:rPr>
            </w:r>
            <w:r w:rsidR="002E4311">
              <w:rPr>
                <w:noProof/>
                <w:webHidden/>
              </w:rPr>
              <w:fldChar w:fldCharType="separate"/>
            </w:r>
            <w:r w:rsidR="002E4311">
              <w:rPr>
                <w:noProof/>
                <w:webHidden/>
              </w:rPr>
              <w:t>4</w:t>
            </w:r>
            <w:r w:rsidR="002E4311">
              <w:rPr>
                <w:noProof/>
                <w:webHidden/>
              </w:rPr>
              <w:fldChar w:fldCharType="end"/>
            </w:r>
          </w:hyperlink>
        </w:p>
        <w:p w:rsidR="002E4311" w:rsidRDefault="007F340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5882706" w:history="1">
            <w:r w:rsidR="002E4311" w:rsidRPr="00C45C25">
              <w:rPr>
                <w:rStyle w:val="Hyperlink"/>
                <w:noProof/>
              </w:rPr>
              <w:t>GTT Data File (gtt_api_data.json)</w:t>
            </w:r>
            <w:r w:rsidR="002E4311">
              <w:rPr>
                <w:noProof/>
                <w:webHidden/>
              </w:rPr>
              <w:tab/>
            </w:r>
            <w:r w:rsidR="002E4311">
              <w:rPr>
                <w:noProof/>
                <w:webHidden/>
              </w:rPr>
              <w:fldChar w:fldCharType="begin"/>
            </w:r>
            <w:r w:rsidR="002E4311">
              <w:rPr>
                <w:noProof/>
                <w:webHidden/>
              </w:rPr>
              <w:instrText xml:space="preserve"> PAGEREF _Toc75882706 \h </w:instrText>
            </w:r>
            <w:r w:rsidR="002E4311">
              <w:rPr>
                <w:noProof/>
                <w:webHidden/>
              </w:rPr>
            </w:r>
            <w:r w:rsidR="002E4311">
              <w:rPr>
                <w:noProof/>
                <w:webHidden/>
              </w:rPr>
              <w:fldChar w:fldCharType="separate"/>
            </w:r>
            <w:r w:rsidR="002E4311">
              <w:rPr>
                <w:noProof/>
                <w:webHidden/>
              </w:rPr>
              <w:t>5</w:t>
            </w:r>
            <w:r w:rsidR="002E4311">
              <w:rPr>
                <w:noProof/>
                <w:webHidden/>
              </w:rPr>
              <w:fldChar w:fldCharType="end"/>
            </w:r>
          </w:hyperlink>
        </w:p>
        <w:p w:rsidR="002E4311" w:rsidRDefault="007F340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5882707" w:history="1">
            <w:r w:rsidR="002E4311" w:rsidRPr="00C45C25">
              <w:rPr>
                <w:rStyle w:val="Hyperlink"/>
                <w:noProof/>
              </w:rPr>
              <w:t>Example UIs</w:t>
            </w:r>
            <w:r w:rsidR="002E4311">
              <w:rPr>
                <w:noProof/>
                <w:webHidden/>
              </w:rPr>
              <w:tab/>
            </w:r>
            <w:r w:rsidR="002E4311">
              <w:rPr>
                <w:noProof/>
                <w:webHidden/>
              </w:rPr>
              <w:fldChar w:fldCharType="begin"/>
            </w:r>
            <w:r w:rsidR="002E4311">
              <w:rPr>
                <w:noProof/>
                <w:webHidden/>
              </w:rPr>
              <w:instrText xml:space="preserve"> PAGEREF _Toc75882707 \h </w:instrText>
            </w:r>
            <w:r w:rsidR="002E4311">
              <w:rPr>
                <w:noProof/>
                <w:webHidden/>
              </w:rPr>
            </w:r>
            <w:r w:rsidR="002E4311">
              <w:rPr>
                <w:noProof/>
                <w:webHidden/>
              </w:rPr>
              <w:fldChar w:fldCharType="separate"/>
            </w:r>
            <w:r w:rsidR="002E4311">
              <w:rPr>
                <w:noProof/>
                <w:webHidden/>
              </w:rPr>
              <w:t>5</w:t>
            </w:r>
            <w:r w:rsidR="002E4311">
              <w:rPr>
                <w:noProof/>
                <w:webHidden/>
              </w:rPr>
              <w:fldChar w:fldCharType="end"/>
            </w:r>
          </w:hyperlink>
        </w:p>
        <w:p w:rsidR="002E4311" w:rsidRDefault="007F340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5882708" w:history="1">
            <w:r w:rsidR="002E4311" w:rsidRPr="00C45C25">
              <w:rPr>
                <w:rStyle w:val="Hyperlink"/>
                <w:noProof/>
              </w:rPr>
              <w:t>Example of a Query Interface</w:t>
            </w:r>
            <w:r w:rsidR="002E4311">
              <w:rPr>
                <w:noProof/>
                <w:webHidden/>
              </w:rPr>
              <w:tab/>
            </w:r>
            <w:r w:rsidR="002E4311">
              <w:rPr>
                <w:noProof/>
                <w:webHidden/>
              </w:rPr>
              <w:fldChar w:fldCharType="begin"/>
            </w:r>
            <w:r w:rsidR="002E4311">
              <w:rPr>
                <w:noProof/>
                <w:webHidden/>
              </w:rPr>
              <w:instrText xml:space="preserve"> PAGEREF _Toc75882708 \h </w:instrText>
            </w:r>
            <w:r w:rsidR="002E4311">
              <w:rPr>
                <w:noProof/>
                <w:webHidden/>
              </w:rPr>
            </w:r>
            <w:r w:rsidR="002E4311">
              <w:rPr>
                <w:noProof/>
                <w:webHidden/>
              </w:rPr>
              <w:fldChar w:fldCharType="separate"/>
            </w:r>
            <w:r w:rsidR="002E4311">
              <w:rPr>
                <w:noProof/>
                <w:webHidden/>
              </w:rPr>
              <w:t>6</w:t>
            </w:r>
            <w:r w:rsidR="002E4311">
              <w:rPr>
                <w:noProof/>
                <w:webHidden/>
              </w:rPr>
              <w:fldChar w:fldCharType="end"/>
            </w:r>
          </w:hyperlink>
        </w:p>
        <w:p w:rsidR="002E4311" w:rsidRDefault="007F340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5882709" w:history="1">
            <w:r w:rsidR="002E4311" w:rsidRPr="00C45C25">
              <w:rPr>
                <w:rStyle w:val="Hyperlink"/>
                <w:noProof/>
              </w:rPr>
              <w:t>Example of a Query-by-Date Results</w:t>
            </w:r>
            <w:r w:rsidR="002E4311">
              <w:rPr>
                <w:noProof/>
                <w:webHidden/>
              </w:rPr>
              <w:tab/>
            </w:r>
            <w:r w:rsidR="002E4311">
              <w:rPr>
                <w:noProof/>
                <w:webHidden/>
              </w:rPr>
              <w:fldChar w:fldCharType="begin"/>
            </w:r>
            <w:r w:rsidR="002E4311">
              <w:rPr>
                <w:noProof/>
                <w:webHidden/>
              </w:rPr>
              <w:instrText xml:space="preserve"> PAGEREF _Toc75882709 \h </w:instrText>
            </w:r>
            <w:r w:rsidR="002E4311">
              <w:rPr>
                <w:noProof/>
                <w:webHidden/>
              </w:rPr>
            </w:r>
            <w:r w:rsidR="002E4311">
              <w:rPr>
                <w:noProof/>
                <w:webHidden/>
              </w:rPr>
              <w:fldChar w:fldCharType="separate"/>
            </w:r>
            <w:r w:rsidR="002E4311">
              <w:rPr>
                <w:noProof/>
                <w:webHidden/>
              </w:rPr>
              <w:t>6</w:t>
            </w:r>
            <w:r w:rsidR="002E4311">
              <w:rPr>
                <w:noProof/>
                <w:webHidden/>
              </w:rPr>
              <w:fldChar w:fldCharType="end"/>
            </w:r>
          </w:hyperlink>
        </w:p>
        <w:p w:rsidR="002E4311" w:rsidRDefault="007F340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5882710" w:history="1">
            <w:r w:rsidR="002E4311" w:rsidRPr="00C45C25">
              <w:rPr>
                <w:rStyle w:val="Hyperlink"/>
                <w:noProof/>
              </w:rPr>
              <w:t>Example of a Query-by-Trade-ID Result</w:t>
            </w:r>
            <w:r w:rsidR="002E4311">
              <w:rPr>
                <w:noProof/>
                <w:webHidden/>
              </w:rPr>
              <w:tab/>
            </w:r>
            <w:r w:rsidR="002E4311">
              <w:rPr>
                <w:noProof/>
                <w:webHidden/>
              </w:rPr>
              <w:fldChar w:fldCharType="begin"/>
            </w:r>
            <w:r w:rsidR="002E4311">
              <w:rPr>
                <w:noProof/>
                <w:webHidden/>
              </w:rPr>
              <w:instrText xml:space="preserve"> PAGEREF _Toc75882710 \h </w:instrText>
            </w:r>
            <w:r w:rsidR="002E4311">
              <w:rPr>
                <w:noProof/>
                <w:webHidden/>
              </w:rPr>
            </w:r>
            <w:r w:rsidR="002E4311">
              <w:rPr>
                <w:noProof/>
                <w:webHidden/>
              </w:rPr>
              <w:fldChar w:fldCharType="separate"/>
            </w:r>
            <w:r w:rsidR="002E4311">
              <w:rPr>
                <w:noProof/>
                <w:webHidden/>
              </w:rPr>
              <w:t>6</w:t>
            </w:r>
            <w:r w:rsidR="002E4311">
              <w:rPr>
                <w:noProof/>
                <w:webHidden/>
              </w:rPr>
              <w:fldChar w:fldCharType="end"/>
            </w:r>
          </w:hyperlink>
        </w:p>
        <w:p w:rsidR="002E4311" w:rsidRDefault="007F340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5882711" w:history="1">
            <w:r w:rsidR="002E4311" w:rsidRPr="00C45C25">
              <w:rPr>
                <w:rStyle w:val="Hyperlink"/>
                <w:noProof/>
              </w:rPr>
              <w:t>Example of a Query-by-Client-ID Result</w:t>
            </w:r>
            <w:r w:rsidR="002E4311">
              <w:rPr>
                <w:noProof/>
                <w:webHidden/>
              </w:rPr>
              <w:tab/>
            </w:r>
            <w:r w:rsidR="002E4311">
              <w:rPr>
                <w:noProof/>
                <w:webHidden/>
              </w:rPr>
              <w:fldChar w:fldCharType="begin"/>
            </w:r>
            <w:r w:rsidR="002E4311">
              <w:rPr>
                <w:noProof/>
                <w:webHidden/>
              </w:rPr>
              <w:instrText xml:space="preserve"> PAGEREF _Toc75882711 \h </w:instrText>
            </w:r>
            <w:r w:rsidR="002E4311">
              <w:rPr>
                <w:noProof/>
                <w:webHidden/>
              </w:rPr>
            </w:r>
            <w:r w:rsidR="002E4311">
              <w:rPr>
                <w:noProof/>
                <w:webHidden/>
              </w:rPr>
              <w:fldChar w:fldCharType="separate"/>
            </w:r>
            <w:r w:rsidR="002E4311">
              <w:rPr>
                <w:noProof/>
                <w:webHidden/>
              </w:rPr>
              <w:t>7</w:t>
            </w:r>
            <w:r w:rsidR="002E4311">
              <w:rPr>
                <w:noProof/>
                <w:webHidden/>
              </w:rPr>
              <w:fldChar w:fldCharType="end"/>
            </w:r>
          </w:hyperlink>
        </w:p>
        <w:p w:rsidR="00BB45F2" w:rsidRDefault="00BB45F2">
          <w:r>
            <w:rPr>
              <w:b/>
              <w:bCs/>
              <w:noProof/>
            </w:rPr>
            <w:fldChar w:fldCharType="end"/>
          </w:r>
        </w:p>
      </w:sdtContent>
    </w:sdt>
    <w:p w:rsidR="00E45096" w:rsidRPr="00E45096" w:rsidRDefault="00E45096" w:rsidP="00701E15">
      <w:pPr>
        <w:pStyle w:val="Heading1"/>
      </w:pPr>
      <w:bookmarkStart w:id="0" w:name="_Toc75882698"/>
      <w:r w:rsidRPr="00E45096">
        <w:t>Background</w:t>
      </w:r>
      <w:bookmarkEnd w:id="0"/>
    </w:p>
    <w:p w:rsidR="00BC706B" w:rsidRDefault="00E45096">
      <w:r>
        <w:t>Good to Trade</w:t>
      </w:r>
      <w:r w:rsidR="00CD7489">
        <w:t xml:space="preserve"> (GTT) is a post-</w:t>
      </w:r>
      <w:r w:rsidR="00132672">
        <w:t>trade review</w:t>
      </w:r>
      <w:r w:rsidR="00ED1280">
        <w:t xml:space="preserve"> check</w:t>
      </w:r>
      <w:r>
        <w:t xml:space="preserve">. All trades that have been executed on </w:t>
      </w:r>
      <w:r w:rsidR="00ED1280">
        <w:t xml:space="preserve">a prior </w:t>
      </w:r>
      <w:r>
        <w:t>business da</w:t>
      </w:r>
      <w:r w:rsidR="00BB32DC">
        <w:t>y are checked to see if the</w:t>
      </w:r>
      <w:r w:rsidR="000C12E9">
        <w:t xml:space="preserve">y are in scope </w:t>
      </w:r>
      <w:r w:rsidR="00701E15">
        <w:t xml:space="preserve">for </w:t>
      </w:r>
      <w:r w:rsidR="000C12E9">
        <w:t xml:space="preserve">a GTT check. </w:t>
      </w:r>
      <w:r w:rsidR="007B48D8">
        <w:t xml:space="preserve">Any </w:t>
      </w:r>
      <w:r w:rsidR="00701E15">
        <w:t xml:space="preserve">in-scope </w:t>
      </w:r>
      <w:r w:rsidR="007B48D8">
        <w:t xml:space="preserve">trades that </w:t>
      </w:r>
      <w:r w:rsidR="000876B4">
        <w:t>fail</w:t>
      </w:r>
      <w:r w:rsidR="008727EE">
        <w:t>s</w:t>
      </w:r>
      <w:r w:rsidR="007B48D8">
        <w:t xml:space="preserve"> </w:t>
      </w:r>
      <w:r w:rsidR="003565C5">
        <w:t>a</w:t>
      </w:r>
      <w:r w:rsidR="007B48D8">
        <w:t xml:space="preserve"> GTT check (hence not Good to Trade) </w:t>
      </w:r>
      <w:r w:rsidR="00097D84">
        <w:t>must</w:t>
      </w:r>
      <w:r w:rsidR="007B48D8">
        <w:t xml:space="preserve"> be reported to the Customer </w:t>
      </w:r>
      <w:r w:rsidR="00AB0DC7">
        <w:t>Support</w:t>
      </w:r>
      <w:r w:rsidR="007B48D8">
        <w:t xml:space="preserve"> Team</w:t>
      </w:r>
      <w:r w:rsidR="00701E15">
        <w:t xml:space="preserve"> for follow-up</w:t>
      </w:r>
      <w:r w:rsidR="007B48D8">
        <w:t>.</w:t>
      </w:r>
      <w:r w:rsidR="00C005AD">
        <w:t xml:space="preserve"> </w:t>
      </w:r>
      <w:r w:rsidR="00C005AD">
        <w:t xml:space="preserve">The Federal National Bank (FNB) </w:t>
      </w:r>
      <w:r w:rsidR="00C005AD">
        <w:t>wants you to create a user application for the Customer Support Team to meet this need.</w:t>
      </w:r>
      <w:bookmarkStart w:id="1" w:name="_GoBack"/>
      <w:bookmarkEnd w:id="1"/>
    </w:p>
    <w:p w:rsidR="00701E15" w:rsidRDefault="00701E15" w:rsidP="00F31B7F">
      <w:pPr>
        <w:pStyle w:val="Heading2"/>
      </w:pPr>
      <w:bookmarkStart w:id="2" w:name="_Toc75882699"/>
      <w:r>
        <w:t>In-Scope Check</w:t>
      </w:r>
      <w:bookmarkEnd w:id="2"/>
    </w:p>
    <w:p w:rsidR="00470671" w:rsidRDefault="00470671" w:rsidP="00D73D61">
      <w:r>
        <w:t>Each trade has a ‘reporting counterparty’</w:t>
      </w:r>
      <w:r w:rsidR="00D73D61">
        <w:t xml:space="preserve"> </w:t>
      </w:r>
      <w:r>
        <w:t>on it. T</w:t>
      </w:r>
      <w:r w:rsidR="00701E15">
        <w:t>he ‘reporting counterparty’ is one of the</w:t>
      </w:r>
      <w:r>
        <w:t xml:space="preserve"> </w:t>
      </w:r>
      <w:r w:rsidR="00C005AD">
        <w:t>Federal</w:t>
      </w:r>
      <w:r w:rsidR="00DB4E95">
        <w:t xml:space="preserve"> National Bank (FNB)</w:t>
      </w:r>
      <w:r w:rsidR="00701E15">
        <w:t xml:space="preserve"> subsidiary legal entities and its</w:t>
      </w:r>
      <w:r w:rsidR="00B64E03">
        <w:t xml:space="preserve"> role is to report</w:t>
      </w:r>
      <w:r>
        <w:t xml:space="preserve"> the trade to the regulator</w:t>
      </w:r>
      <w:r w:rsidR="00701E15">
        <w:t xml:space="preserve"> in its jurisdiction</w:t>
      </w:r>
      <w:r>
        <w:t xml:space="preserve">. </w:t>
      </w:r>
      <w:r w:rsidR="00701E15">
        <w:t xml:space="preserve">There is usually an individual subsidiary for each jurisdiction (e.g. for each country) however for this project we shall assume that </w:t>
      </w:r>
      <w:r w:rsidR="00B97490">
        <w:t xml:space="preserve">we </w:t>
      </w:r>
      <w:r w:rsidR="00701E15">
        <w:t xml:space="preserve">only </w:t>
      </w:r>
      <w:r w:rsidR="00B97490">
        <w:t xml:space="preserve">have </w:t>
      </w:r>
      <w:r w:rsidR="00701E15">
        <w:t xml:space="preserve">3 entities: </w:t>
      </w:r>
      <w:r w:rsidR="00DB4E95">
        <w:t>FNB-</w:t>
      </w:r>
      <w:r w:rsidR="00701E15">
        <w:t xml:space="preserve">UK, </w:t>
      </w:r>
      <w:r w:rsidR="00DB4E95">
        <w:t>FNB-</w:t>
      </w:r>
      <w:r w:rsidR="00701E15">
        <w:t xml:space="preserve">EU, </w:t>
      </w:r>
      <w:proofErr w:type="gramStart"/>
      <w:r w:rsidR="00DB4E95">
        <w:t>FNB</w:t>
      </w:r>
      <w:proofErr w:type="gramEnd"/>
      <w:r w:rsidR="00DB4E95">
        <w:t>-</w:t>
      </w:r>
      <w:r w:rsidR="00701E15">
        <w:t xml:space="preserve">SG. Only trades of which the ‘reporting counterparty’ is </w:t>
      </w:r>
      <w:r w:rsidR="00DB4E95">
        <w:t>FNB-</w:t>
      </w:r>
      <w:r w:rsidR="00B64E03">
        <w:t xml:space="preserve">UK and </w:t>
      </w:r>
      <w:r w:rsidR="00DB4E95">
        <w:t>FNB-</w:t>
      </w:r>
      <w:r w:rsidR="00B64E03">
        <w:t>EU</w:t>
      </w:r>
      <w:r w:rsidR="00701E15">
        <w:t xml:space="preserve"> are in scope and </w:t>
      </w:r>
      <w:r w:rsidR="00B64E03">
        <w:t xml:space="preserve">be required a GTT check. </w:t>
      </w:r>
      <w:r>
        <w:t xml:space="preserve"> </w:t>
      </w:r>
    </w:p>
    <w:p w:rsidR="00B64E03" w:rsidRDefault="00B64E03" w:rsidP="00D73D61">
      <w:r>
        <w:t>The type of trades we will be checking are Securities Financing Transaction Regulation</w:t>
      </w:r>
      <w:r w:rsidR="00EA18E1">
        <w:t xml:space="preserve"> (SFTR</w:t>
      </w:r>
      <w:r>
        <w:t>) trades.  SFTR is an EU transaction reporting regime and it aims to increase transparency of banking activities for securities lending, repurchase transactions an</w:t>
      </w:r>
      <w:r w:rsidR="004941E0">
        <w:t>d prime brokerage margin loans.</w:t>
      </w:r>
    </w:p>
    <w:tbl>
      <w:tblPr>
        <w:tblW w:w="935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7084"/>
      </w:tblGrid>
      <w:tr w:rsidR="00C234D4" w:rsidRPr="007A7777" w:rsidTr="00126105">
        <w:trPr>
          <w:cantSplit/>
          <w:tblHeader/>
        </w:trPr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2060"/>
          </w:tcPr>
          <w:p w:rsidR="00C234D4" w:rsidRPr="007A7777" w:rsidRDefault="001F1803" w:rsidP="002E4D51">
            <w:pPr>
              <w:pStyle w:val="NoSpacing"/>
              <w:spacing w:before="60" w:after="60"/>
              <w:jc w:val="center"/>
              <w:rPr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alibri"/>
                <w:b/>
                <w:color w:val="FFFFFF" w:themeColor="background1"/>
                <w:sz w:val="20"/>
                <w:szCs w:val="20"/>
              </w:rPr>
              <w:lastRenderedPageBreak/>
              <w:t xml:space="preserve">SFTR </w:t>
            </w:r>
            <w:r w:rsidR="00C234D4" w:rsidRPr="007A7777">
              <w:rPr>
                <w:rFonts w:ascii="Calibri"/>
                <w:b/>
                <w:color w:val="FFFFFF" w:themeColor="background1"/>
                <w:sz w:val="20"/>
                <w:szCs w:val="20"/>
              </w:rPr>
              <w:t>Product</w:t>
            </w:r>
          </w:p>
        </w:tc>
        <w:tc>
          <w:tcPr>
            <w:tcW w:w="70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2060"/>
          </w:tcPr>
          <w:p w:rsidR="00C234D4" w:rsidRPr="007A7777" w:rsidRDefault="00C234D4" w:rsidP="002E4D51">
            <w:pPr>
              <w:pStyle w:val="NoSpacing"/>
              <w:spacing w:before="60" w:after="60"/>
              <w:jc w:val="center"/>
              <w:rPr>
                <w:b/>
                <w:color w:val="FFFFFF" w:themeColor="background1"/>
                <w:sz w:val="20"/>
                <w:szCs w:val="20"/>
              </w:rPr>
            </w:pPr>
            <w:r w:rsidRPr="007A7777">
              <w:rPr>
                <w:rFonts w:ascii="Calibri"/>
                <w:b/>
                <w:color w:val="FFFFFF" w:themeColor="background1"/>
                <w:sz w:val="20"/>
                <w:szCs w:val="20"/>
              </w:rPr>
              <w:t>Definition</w:t>
            </w:r>
          </w:p>
        </w:tc>
      </w:tr>
      <w:tr w:rsidR="00C234D4" w:rsidRPr="007A7777" w:rsidTr="00126105">
        <w:trPr>
          <w:cantSplit/>
          <w:tblHeader/>
        </w:trPr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FFFFFF" w:fill="FFFFFF"/>
            <w:vAlign w:val="center"/>
          </w:tcPr>
          <w:p w:rsidR="00C234D4" w:rsidRPr="007A7777" w:rsidRDefault="00C234D4" w:rsidP="002E4D51">
            <w:pPr>
              <w:pStyle w:val="NoSpacing"/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rFonts w:ascii="Calibri"/>
                <w:color w:val="000000"/>
                <w:sz w:val="20"/>
                <w:szCs w:val="20"/>
              </w:rPr>
              <w:t>REPURCHASE</w:t>
            </w:r>
          </w:p>
        </w:tc>
        <w:tc>
          <w:tcPr>
            <w:tcW w:w="70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FFFFFF" w:fill="FFFFFF"/>
          </w:tcPr>
          <w:p w:rsidR="00C234D4" w:rsidRPr="007A7777" w:rsidRDefault="00C234D4" w:rsidP="002E4D51">
            <w:pPr>
              <w:pStyle w:val="NoSpacing"/>
              <w:spacing w:before="60" w:after="60"/>
              <w:jc w:val="both"/>
              <w:rPr>
                <w:sz w:val="20"/>
                <w:szCs w:val="20"/>
              </w:rPr>
            </w:pPr>
            <w:r w:rsidRPr="007A7777">
              <w:rPr>
                <w:rFonts w:ascii="Calibri"/>
                <w:color w:val="000000"/>
                <w:sz w:val="20"/>
                <w:szCs w:val="20"/>
              </w:rPr>
              <w:t xml:space="preserve">A transaction governed by an agreement by which a </w:t>
            </w:r>
            <w:r>
              <w:rPr>
                <w:rFonts w:ascii="Calibri"/>
                <w:color w:val="000000"/>
                <w:sz w:val="20"/>
                <w:szCs w:val="20"/>
              </w:rPr>
              <w:t>client</w:t>
            </w:r>
            <w:r w:rsidRPr="007A7777">
              <w:rPr>
                <w:rFonts w:ascii="Calibri"/>
                <w:color w:val="000000"/>
                <w:sz w:val="20"/>
                <w:szCs w:val="20"/>
              </w:rPr>
              <w:t xml:space="preserve"> transfers securities where </w:t>
            </w:r>
            <w:r>
              <w:rPr>
                <w:rFonts w:ascii="Calibri"/>
                <w:color w:val="000000"/>
                <w:sz w:val="20"/>
                <w:szCs w:val="20"/>
              </w:rPr>
              <w:t>a</w:t>
            </w:r>
            <w:r w:rsidRPr="007A7777">
              <w:rPr>
                <w:rFonts w:ascii="Calibri"/>
                <w:color w:val="000000"/>
                <w:sz w:val="20"/>
                <w:szCs w:val="20"/>
              </w:rPr>
              <w:t xml:space="preserve"> guarantee is issued by a </w:t>
            </w:r>
            <w:proofErr w:type="spellStart"/>
            <w:r w:rsidRPr="007A7777">
              <w:rPr>
                <w:rFonts w:ascii="Calibri"/>
                <w:color w:val="000000"/>
                <w:sz w:val="20"/>
                <w:szCs w:val="20"/>
              </w:rPr>
              <w:t>recognised</w:t>
            </w:r>
            <w:proofErr w:type="spellEnd"/>
            <w:r w:rsidRPr="007A7777">
              <w:rPr>
                <w:rFonts w:ascii="Calibri"/>
                <w:color w:val="000000"/>
                <w:sz w:val="20"/>
                <w:szCs w:val="20"/>
              </w:rPr>
              <w:t xml:space="preserve"> exchange which holds the rights to the securities and the agreement does not allow a </w:t>
            </w:r>
            <w:r>
              <w:rPr>
                <w:rFonts w:ascii="Calibri"/>
                <w:color w:val="000000"/>
                <w:sz w:val="20"/>
                <w:szCs w:val="20"/>
              </w:rPr>
              <w:t>client</w:t>
            </w:r>
            <w:r w:rsidRPr="007A7777">
              <w:rPr>
                <w:rFonts w:ascii="Calibri"/>
                <w:color w:val="000000"/>
                <w:sz w:val="20"/>
                <w:szCs w:val="20"/>
              </w:rPr>
              <w:t xml:space="preserve"> to transfer or pledge a particular security to more than one </w:t>
            </w:r>
            <w:r>
              <w:rPr>
                <w:rFonts w:ascii="Calibri"/>
                <w:color w:val="000000"/>
                <w:sz w:val="20"/>
                <w:szCs w:val="20"/>
              </w:rPr>
              <w:t>client</w:t>
            </w:r>
            <w:r w:rsidRPr="007A7777">
              <w:rPr>
                <w:rFonts w:ascii="Calibri"/>
                <w:color w:val="000000"/>
                <w:sz w:val="20"/>
                <w:szCs w:val="20"/>
              </w:rPr>
              <w:t xml:space="preserve"> at a time, subject to a commitme</w:t>
            </w:r>
            <w:r>
              <w:rPr>
                <w:rFonts w:ascii="Calibri"/>
                <w:color w:val="000000"/>
                <w:sz w:val="20"/>
                <w:szCs w:val="20"/>
              </w:rPr>
              <w:t>nt to repurchase them</w:t>
            </w:r>
            <w:r w:rsidRPr="007A7777">
              <w:rPr>
                <w:rFonts w:ascii="Calibri"/>
                <w:color w:val="000000"/>
                <w:sz w:val="20"/>
                <w:szCs w:val="20"/>
              </w:rPr>
              <w:t xml:space="preserve"> at a specified p</w:t>
            </w:r>
            <w:r>
              <w:rPr>
                <w:rFonts w:ascii="Calibri"/>
                <w:color w:val="000000"/>
                <w:sz w:val="20"/>
                <w:szCs w:val="20"/>
              </w:rPr>
              <w:t>rice on a future date specified.</w:t>
            </w:r>
          </w:p>
        </w:tc>
      </w:tr>
      <w:tr w:rsidR="00C234D4" w:rsidRPr="007A7777" w:rsidTr="00126105">
        <w:trPr>
          <w:cantSplit/>
          <w:tblHeader/>
        </w:trPr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FFFFFF" w:fill="FFFFFF"/>
            <w:vAlign w:val="center"/>
          </w:tcPr>
          <w:p w:rsidR="00C234D4" w:rsidRPr="007A7777" w:rsidRDefault="00C234D4" w:rsidP="002E4D51">
            <w:pPr>
              <w:pStyle w:val="NoSpacing"/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rFonts w:ascii="Calibri"/>
                <w:color w:val="000000"/>
                <w:sz w:val="20"/>
                <w:szCs w:val="20"/>
              </w:rPr>
              <w:t>BUY_BACK</w:t>
            </w:r>
          </w:p>
        </w:tc>
        <w:tc>
          <w:tcPr>
            <w:tcW w:w="70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FFFFFF" w:fill="FFFFFF"/>
          </w:tcPr>
          <w:p w:rsidR="00C234D4" w:rsidRPr="007A7777" w:rsidRDefault="00C234D4" w:rsidP="002E4D51">
            <w:pPr>
              <w:pStyle w:val="NoSpacing"/>
              <w:spacing w:before="60" w:after="60"/>
              <w:jc w:val="both"/>
              <w:rPr>
                <w:sz w:val="20"/>
                <w:szCs w:val="20"/>
              </w:rPr>
            </w:pPr>
            <w:r w:rsidRPr="007A7777">
              <w:rPr>
                <w:rFonts w:ascii="Calibri"/>
                <w:color w:val="000000"/>
                <w:sz w:val="20"/>
                <w:szCs w:val="20"/>
              </w:rPr>
              <w:t xml:space="preserve">A transaction by which a </w:t>
            </w:r>
            <w:r>
              <w:rPr>
                <w:rFonts w:ascii="Calibri"/>
                <w:color w:val="000000"/>
                <w:sz w:val="20"/>
                <w:szCs w:val="20"/>
              </w:rPr>
              <w:t>client</w:t>
            </w:r>
            <w:r w:rsidRPr="007A7777">
              <w:rPr>
                <w:rFonts w:ascii="Calibri"/>
                <w:color w:val="000000"/>
                <w:sz w:val="20"/>
                <w:szCs w:val="20"/>
              </w:rPr>
              <w:t xml:space="preserve"> buys </w:t>
            </w:r>
            <w:r>
              <w:rPr>
                <w:rFonts w:ascii="Calibri"/>
                <w:color w:val="000000"/>
                <w:sz w:val="20"/>
                <w:szCs w:val="20"/>
              </w:rPr>
              <w:t>securities and</w:t>
            </w:r>
            <w:r w:rsidRPr="007A7777">
              <w:rPr>
                <w:rFonts w:ascii="Calibri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alibri"/>
                <w:color w:val="000000"/>
                <w:sz w:val="20"/>
                <w:szCs w:val="20"/>
              </w:rPr>
              <w:t>agrees to</w:t>
            </w:r>
            <w:r w:rsidRPr="007A7777">
              <w:rPr>
                <w:rFonts w:ascii="Calibri"/>
                <w:color w:val="000000"/>
                <w:sz w:val="20"/>
                <w:szCs w:val="20"/>
              </w:rPr>
              <w:t xml:space="preserve"> sell back securities of the same description at a s</w:t>
            </w:r>
            <w:r>
              <w:rPr>
                <w:rFonts w:ascii="Calibri"/>
                <w:color w:val="000000"/>
                <w:sz w:val="20"/>
                <w:szCs w:val="20"/>
              </w:rPr>
              <w:t>pecified price on a future date</w:t>
            </w:r>
          </w:p>
        </w:tc>
      </w:tr>
      <w:tr w:rsidR="00C234D4" w:rsidRPr="007A7777" w:rsidTr="00126105">
        <w:trPr>
          <w:cantSplit/>
          <w:tblHeader/>
        </w:trPr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FFFFFF" w:fill="FFFFFF"/>
            <w:vAlign w:val="center"/>
          </w:tcPr>
          <w:p w:rsidR="00C234D4" w:rsidRPr="007A7777" w:rsidRDefault="00C234D4" w:rsidP="002E4D51">
            <w:pPr>
              <w:pStyle w:val="NoSpacing"/>
              <w:spacing w:before="60" w:after="60"/>
              <w:jc w:val="center"/>
              <w:rPr>
                <w:sz w:val="20"/>
                <w:szCs w:val="20"/>
              </w:rPr>
            </w:pPr>
            <w:r w:rsidRPr="007A7777">
              <w:rPr>
                <w:rFonts w:ascii="Calibri"/>
                <w:color w:val="000000"/>
                <w:sz w:val="20"/>
                <w:szCs w:val="20"/>
              </w:rPr>
              <w:t>S</w:t>
            </w:r>
            <w:r>
              <w:rPr>
                <w:rFonts w:ascii="Calibri"/>
                <w:color w:val="000000"/>
                <w:sz w:val="20"/>
                <w:szCs w:val="20"/>
              </w:rPr>
              <w:t>ECURITIES_LENDING</w:t>
            </w:r>
          </w:p>
        </w:tc>
        <w:tc>
          <w:tcPr>
            <w:tcW w:w="70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FFFFFF" w:fill="FFFFFF"/>
          </w:tcPr>
          <w:p w:rsidR="00C234D4" w:rsidRPr="007A7777" w:rsidRDefault="00C234D4" w:rsidP="002E4D51">
            <w:pPr>
              <w:pStyle w:val="NoSpacing"/>
              <w:spacing w:before="60" w:after="60"/>
              <w:jc w:val="both"/>
              <w:rPr>
                <w:sz w:val="20"/>
                <w:szCs w:val="20"/>
              </w:rPr>
            </w:pPr>
            <w:r w:rsidRPr="007A7777">
              <w:rPr>
                <w:rFonts w:ascii="Calibri"/>
                <w:color w:val="000000"/>
                <w:sz w:val="20"/>
                <w:szCs w:val="20"/>
              </w:rPr>
              <w:t>A transaction by which a counterparty transfers securities subject to a commitment that the borrower will return equivalent securities on a future date or when requested to do so</w:t>
            </w:r>
            <w:r>
              <w:rPr>
                <w:rFonts w:ascii="Calibri"/>
                <w:color w:val="000000"/>
                <w:sz w:val="20"/>
                <w:szCs w:val="20"/>
              </w:rPr>
              <w:t xml:space="preserve"> by the transferor.</w:t>
            </w:r>
          </w:p>
        </w:tc>
      </w:tr>
      <w:tr w:rsidR="00C234D4" w:rsidRPr="007A7777" w:rsidTr="00126105">
        <w:trPr>
          <w:cantSplit/>
          <w:tblHeader/>
        </w:trPr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FFFFFF" w:fill="FFFFFF"/>
            <w:vAlign w:val="center"/>
          </w:tcPr>
          <w:p w:rsidR="00C234D4" w:rsidRPr="007A7777" w:rsidRDefault="00C234D4" w:rsidP="002E4D51">
            <w:pPr>
              <w:pStyle w:val="NoSpacing"/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rFonts w:ascii="Calibri"/>
                <w:color w:val="000000"/>
                <w:sz w:val="20"/>
                <w:szCs w:val="20"/>
              </w:rPr>
              <w:t>MARGIN_LENDING</w:t>
            </w:r>
          </w:p>
        </w:tc>
        <w:tc>
          <w:tcPr>
            <w:tcW w:w="70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FFFFFF" w:fill="FFFFFF"/>
          </w:tcPr>
          <w:p w:rsidR="00C234D4" w:rsidRPr="007A7777" w:rsidRDefault="00C234D4" w:rsidP="002E4D51">
            <w:pPr>
              <w:pStyle w:val="NoSpacing"/>
              <w:spacing w:before="60" w:after="60"/>
              <w:jc w:val="both"/>
              <w:rPr>
                <w:sz w:val="20"/>
                <w:szCs w:val="20"/>
              </w:rPr>
            </w:pPr>
            <w:r w:rsidRPr="007A7777">
              <w:rPr>
                <w:rFonts w:ascii="Calibri"/>
                <w:color w:val="000000"/>
                <w:sz w:val="20"/>
                <w:szCs w:val="20"/>
              </w:rPr>
              <w:t>A transaction in which a prime broker extends credit</w:t>
            </w:r>
            <w:r>
              <w:rPr>
                <w:rFonts w:ascii="Calibri"/>
                <w:color w:val="000000"/>
                <w:sz w:val="20"/>
                <w:szCs w:val="20"/>
              </w:rPr>
              <w:t xml:space="preserve"> in connection with the</w:t>
            </w:r>
            <w:r w:rsidRPr="007A7777">
              <w:rPr>
                <w:rFonts w:ascii="Calibri"/>
                <w:color w:val="000000"/>
                <w:sz w:val="20"/>
                <w:szCs w:val="20"/>
              </w:rPr>
              <w:t xml:space="preserve"> trading of securities, but not including other loans that are secured by collateral in the form of securities.</w:t>
            </w:r>
          </w:p>
        </w:tc>
      </w:tr>
    </w:tbl>
    <w:p w:rsidR="001B6A50" w:rsidRDefault="001B6A50" w:rsidP="001B6A50"/>
    <w:p w:rsidR="001B6A50" w:rsidRDefault="001B6A50" w:rsidP="001B6A50">
      <w:r>
        <w:t xml:space="preserve">A trade is in scope to perform a GTT check ONLY if the </w:t>
      </w:r>
      <w:r w:rsidR="004C0DBB">
        <w:t xml:space="preserve">information on the </w:t>
      </w:r>
      <w:r>
        <w:t xml:space="preserve">trade meets </w:t>
      </w:r>
      <w:r w:rsidR="00216DFB">
        <w:t xml:space="preserve">all </w:t>
      </w:r>
      <w:r w:rsidR="00F65DBE">
        <w:t>the</w:t>
      </w:r>
      <w:r>
        <w:t xml:space="preserve"> criteria </w:t>
      </w:r>
      <w:r w:rsidR="00A22E21">
        <w:t xml:space="preserve">listed </w:t>
      </w:r>
      <w:r>
        <w:t xml:space="preserve">below. </w:t>
      </w:r>
      <w:r w:rsidR="000A0AF4">
        <w:t xml:space="preserve">GTT check should not be performed on </w:t>
      </w:r>
      <w:r>
        <w:t>trades that don’t meet this criteria.</w:t>
      </w:r>
    </w:p>
    <w:p w:rsidR="001B6A50" w:rsidRDefault="001B6A50" w:rsidP="001B6A50">
      <w:pPr>
        <w:pStyle w:val="ListParagraph"/>
        <w:numPr>
          <w:ilvl w:val="0"/>
          <w:numId w:val="28"/>
        </w:numPr>
      </w:pPr>
      <w:r>
        <w:t>Regulation = ‘SFT_REPORTING’</w:t>
      </w:r>
    </w:p>
    <w:p w:rsidR="001B6A50" w:rsidRDefault="001B6A50" w:rsidP="001B6A50">
      <w:pPr>
        <w:pStyle w:val="ListParagraph"/>
        <w:numPr>
          <w:ilvl w:val="0"/>
          <w:numId w:val="28"/>
        </w:numPr>
      </w:pPr>
      <w:r>
        <w:t>Reporting Side = ‘FIRM’</w:t>
      </w:r>
    </w:p>
    <w:p w:rsidR="001B6A50" w:rsidRDefault="001B6A50" w:rsidP="001B6A50">
      <w:pPr>
        <w:pStyle w:val="ListParagraph"/>
        <w:numPr>
          <w:ilvl w:val="0"/>
          <w:numId w:val="28"/>
        </w:numPr>
      </w:pPr>
      <w:r>
        <w:t>Jurisdiction = ‘UK or ‘EU’</w:t>
      </w:r>
    </w:p>
    <w:p w:rsidR="001B6A50" w:rsidRDefault="001B6A50" w:rsidP="001B6A50">
      <w:pPr>
        <w:pStyle w:val="ListParagraph"/>
        <w:numPr>
          <w:ilvl w:val="0"/>
          <w:numId w:val="28"/>
        </w:numPr>
      </w:pPr>
      <w:r>
        <w:t>Security Types = ‘SECURITIES_LENDING’, ‘REPURCHASE’, ‘MARGIN_LENDING’, ‘BUY_BACK’</w:t>
      </w:r>
    </w:p>
    <w:p w:rsidR="00F31B7F" w:rsidRDefault="001B6A50" w:rsidP="00F31B7F">
      <w:pPr>
        <w:pStyle w:val="ListParagraph"/>
        <w:numPr>
          <w:ilvl w:val="0"/>
          <w:numId w:val="28"/>
        </w:numPr>
      </w:pPr>
      <w:r>
        <w:t>Reporting Counterparty = ‘</w:t>
      </w:r>
      <w:r w:rsidR="00DB4E95">
        <w:t>FNB-</w:t>
      </w:r>
      <w:r>
        <w:t>UK’ or ‘</w:t>
      </w:r>
      <w:r w:rsidR="00DB4E95">
        <w:t>FNB-</w:t>
      </w:r>
      <w:r>
        <w:t>EU’</w:t>
      </w:r>
    </w:p>
    <w:p w:rsidR="001543A9" w:rsidRPr="001543A9" w:rsidRDefault="001543A9" w:rsidP="00F31B7F">
      <w:pPr>
        <w:pStyle w:val="Heading2"/>
      </w:pPr>
      <w:bookmarkStart w:id="3" w:name="_Toc75882700"/>
      <w:r w:rsidRPr="001543A9">
        <w:t>GTT Check</w:t>
      </w:r>
      <w:bookmarkEnd w:id="3"/>
    </w:p>
    <w:p w:rsidR="00570DF3" w:rsidRDefault="008727EE" w:rsidP="00D73D61">
      <w:r>
        <w:t xml:space="preserve">The </w:t>
      </w:r>
      <w:r w:rsidRPr="007F17F0">
        <w:t>GTT</w:t>
      </w:r>
      <w:r w:rsidR="00E02E2E" w:rsidRPr="007F17F0">
        <w:t xml:space="preserve"> Check</w:t>
      </w:r>
      <w:r w:rsidRPr="007F17F0">
        <w:t xml:space="preserve"> </w:t>
      </w:r>
      <w:r w:rsidR="00C834EA">
        <w:t>examines</w:t>
      </w:r>
      <w:r w:rsidR="007F17F0">
        <w:t xml:space="preserve"> </w:t>
      </w:r>
      <w:r w:rsidR="00FD2930">
        <w:t>the ‘</w:t>
      </w:r>
      <w:r w:rsidR="00B75CCC">
        <w:t>counterparty/client</w:t>
      </w:r>
      <w:r w:rsidR="00FD2930">
        <w:t>’ and the ‘</w:t>
      </w:r>
      <w:r w:rsidR="00B75CCC">
        <w:t>reporting counterparty/</w:t>
      </w:r>
      <w:r w:rsidR="00DB4E95">
        <w:t>FNB</w:t>
      </w:r>
      <w:r>
        <w:t xml:space="preserve"> Enti</w:t>
      </w:r>
      <w:r w:rsidR="00B75CCC">
        <w:t>t</w:t>
      </w:r>
      <w:r w:rsidR="00470671">
        <w:t>y</w:t>
      </w:r>
      <w:r w:rsidR="00FD2930">
        <w:t>’</w:t>
      </w:r>
      <w:r>
        <w:t xml:space="preserve"> </w:t>
      </w:r>
      <w:r w:rsidR="00B75CCC">
        <w:t xml:space="preserve">from </w:t>
      </w:r>
      <w:r w:rsidR="00470671">
        <w:t>each in</w:t>
      </w:r>
      <w:r w:rsidR="00F27761">
        <w:t>-</w:t>
      </w:r>
      <w:r w:rsidR="00470671">
        <w:t xml:space="preserve">scope </w:t>
      </w:r>
      <w:r w:rsidR="00B75CCC">
        <w:t xml:space="preserve">trade and </w:t>
      </w:r>
      <w:r w:rsidR="00742826">
        <w:t xml:space="preserve">makes </w:t>
      </w:r>
      <w:r w:rsidR="00B75CCC">
        <w:t>a</w:t>
      </w:r>
      <w:r w:rsidR="00742826">
        <w:t>n API</w:t>
      </w:r>
      <w:r w:rsidR="00B75CCC">
        <w:t xml:space="preserve"> call to GTT </w:t>
      </w:r>
      <w:r w:rsidR="00742826">
        <w:t xml:space="preserve">service </w:t>
      </w:r>
      <w:r w:rsidR="00B75CCC">
        <w:t xml:space="preserve">(with these 2 parameters). </w:t>
      </w:r>
    </w:p>
    <w:p w:rsidR="00570DF3" w:rsidRDefault="00B75CCC" w:rsidP="00D73D61">
      <w:r>
        <w:t xml:space="preserve">The </w:t>
      </w:r>
      <w:r w:rsidR="00470671">
        <w:t xml:space="preserve">GTT </w:t>
      </w:r>
      <w:r w:rsidR="00742826">
        <w:t xml:space="preserve">service </w:t>
      </w:r>
      <w:r w:rsidR="00470671">
        <w:t>should</w:t>
      </w:r>
      <w:r>
        <w:t xml:space="preserve"> check </w:t>
      </w:r>
      <w:r w:rsidR="00742826">
        <w:t xml:space="preserve">against </w:t>
      </w:r>
      <w:r>
        <w:t xml:space="preserve">the </w:t>
      </w:r>
      <w:r w:rsidR="00742826">
        <w:t xml:space="preserve">internal data </w:t>
      </w:r>
      <w:r w:rsidR="00DD4AA2">
        <w:t xml:space="preserve">(provided as </w:t>
      </w:r>
      <w:proofErr w:type="spellStart"/>
      <w:r w:rsidR="00DD4AA2" w:rsidRPr="00C005AD">
        <w:t>gtt_api_data.json</w:t>
      </w:r>
      <w:proofErr w:type="spellEnd"/>
      <w:r w:rsidR="00DD4AA2">
        <w:t xml:space="preserve">) for </w:t>
      </w:r>
      <w:r w:rsidR="00470671">
        <w:t>the status</w:t>
      </w:r>
      <w:r>
        <w:t xml:space="preserve"> of the 3 </w:t>
      </w:r>
      <w:r w:rsidR="00470671">
        <w:t xml:space="preserve">required </w:t>
      </w:r>
      <w:r>
        <w:t>documents</w:t>
      </w:r>
      <w:r w:rsidR="00470671">
        <w:t xml:space="preserve"> that the client must have </w:t>
      </w:r>
      <w:r w:rsidR="00DD4AA2">
        <w:t xml:space="preserve">filed </w:t>
      </w:r>
      <w:r w:rsidR="00470671">
        <w:t>with</w:t>
      </w:r>
      <w:r w:rsidR="008B3883">
        <w:t xml:space="preserve"> the</w:t>
      </w:r>
      <w:r w:rsidR="00470671">
        <w:t xml:space="preserve"> </w:t>
      </w:r>
      <w:r w:rsidR="00DB4E95">
        <w:t>FNB</w:t>
      </w:r>
      <w:r w:rsidR="00FD10F8">
        <w:t xml:space="preserve"> entity</w:t>
      </w:r>
      <w:r w:rsidR="00470671">
        <w:t xml:space="preserve">. The 3 documents are ‘AML/KYC’, ‘LEI’ and ‘Reporting Consent’. More information </w:t>
      </w:r>
      <w:r w:rsidR="00FD2930">
        <w:t xml:space="preserve">about each these documents </w:t>
      </w:r>
      <w:r w:rsidR="00DD4AA2">
        <w:t xml:space="preserve">are in the </w:t>
      </w:r>
      <w:r w:rsidR="00F31B7F">
        <w:t xml:space="preserve">next </w:t>
      </w:r>
      <w:r w:rsidR="00DD4AA2">
        <w:t>table.</w:t>
      </w:r>
    </w:p>
    <w:tbl>
      <w:tblPr>
        <w:tblW w:w="935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7084"/>
      </w:tblGrid>
      <w:tr w:rsidR="00DD4AA2" w:rsidRPr="007A7777" w:rsidTr="002104B2">
        <w:trPr>
          <w:cantSplit/>
          <w:tblHeader/>
        </w:trPr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2060"/>
          </w:tcPr>
          <w:p w:rsidR="00DD4AA2" w:rsidRPr="007A7777" w:rsidRDefault="00DD4AA2" w:rsidP="002E4D51">
            <w:pPr>
              <w:pStyle w:val="NoSpacing"/>
              <w:spacing w:before="60" w:after="60"/>
              <w:jc w:val="center"/>
              <w:rPr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alibri"/>
                <w:b/>
                <w:color w:val="FFFFFF" w:themeColor="background1"/>
                <w:sz w:val="20"/>
                <w:szCs w:val="20"/>
              </w:rPr>
              <w:t>Document Type</w:t>
            </w:r>
          </w:p>
        </w:tc>
        <w:tc>
          <w:tcPr>
            <w:tcW w:w="70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2060"/>
          </w:tcPr>
          <w:p w:rsidR="00DD4AA2" w:rsidRPr="007A7777" w:rsidRDefault="00DD4AA2" w:rsidP="002E4D51">
            <w:pPr>
              <w:pStyle w:val="NoSpacing"/>
              <w:spacing w:before="60" w:after="60"/>
              <w:jc w:val="center"/>
              <w:rPr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alibri"/>
                <w:b/>
                <w:color w:val="FFFFFF" w:themeColor="background1"/>
                <w:sz w:val="20"/>
                <w:szCs w:val="20"/>
              </w:rPr>
              <w:t>Description</w:t>
            </w:r>
          </w:p>
        </w:tc>
      </w:tr>
      <w:tr w:rsidR="00DD4AA2" w:rsidRPr="007A7777" w:rsidTr="002104B2">
        <w:trPr>
          <w:cantSplit/>
          <w:tblHeader/>
        </w:trPr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FFFFFF" w:fill="FFFFFF"/>
            <w:vAlign w:val="center"/>
          </w:tcPr>
          <w:p w:rsidR="00DD4AA2" w:rsidRPr="007A7777" w:rsidRDefault="00DD4AA2" w:rsidP="002E4D51">
            <w:pPr>
              <w:pStyle w:val="NoSpacing"/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rFonts w:ascii="Calibri"/>
                <w:color w:val="000000"/>
                <w:sz w:val="20"/>
                <w:szCs w:val="20"/>
              </w:rPr>
              <w:t>AML/KYC</w:t>
            </w:r>
          </w:p>
        </w:tc>
        <w:tc>
          <w:tcPr>
            <w:tcW w:w="70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FFFFFF" w:fill="FFFFFF"/>
          </w:tcPr>
          <w:p w:rsidR="00DD4AA2" w:rsidRPr="007A7777" w:rsidRDefault="00DD4AA2" w:rsidP="00DD4AA2">
            <w:pPr>
              <w:pStyle w:val="NoSpacing"/>
              <w:spacing w:before="60" w:after="60"/>
              <w:jc w:val="both"/>
              <w:rPr>
                <w:sz w:val="20"/>
                <w:szCs w:val="20"/>
              </w:rPr>
            </w:pPr>
            <w:r>
              <w:rPr>
                <w:rFonts w:ascii="Calibri"/>
                <w:color w:val="000000"/>
                <w:sz w:val="20"/>
                <w:szCs w:val="20"/>
              </w:rPr>
              <w:t>A set of questionnaire answered for the client, for purpose of “Anti-Money Laundering” and “Know Your Client” processes.</w:t>
            </w:r>
          </w:p>
        </w:tc>
      </w:tr>
      <w:tr w:rsidR="00DD4AA2" w:rsidRPr="007A7777" w:rsidTr="002104B2">
        <w:trPr>
          <w:cantSplit/>
          <w:tblHeader/>
        </w:trPr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FFFFFF" w:fill="FFFFFF"/>
            <w:vAlign w:val="center"/>
          </w:tcPr>
          <w:p w:rsidR="00DD4AA2" w:rsidRPr="007A7777" w:rsidRDefault="00DD4AA2" w:rsidP="002E4D51">
            <w:pPr>
              <w:pStyle w:val="NoSpacing"/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rFonts w:ascii="Calibri"/>
                <w:color w:val="000000"/>
                <w:sz w:val="20"/>
                <w:szCs w:val="20"/>
              </w:rPr>
              <w:t>LEI</w:t>
            </w:r>
          </w:p>
        </w:tc>
        <w:tc>
          <w:tcPr>
            <w:tcW w:w="70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FFFFFF" w:fill="FFFFFF"/>
          </w:tcPr>
          <w:p w:rsidR="00DD4AA2" w:rsidRPr="007A7777" w:rsidRDefault="00DD4AA2" w:rsidP="002E4D51">
            <w:pPr>
              <w:pStyle w:val="NoSpacing"/>
              <w:spacing w:before="60" w:after="60"/>
              <w:jc w:val="both"/>
              <w:rPr>
                <w:sz w:val="20"/>
                <w:szCs w:val="20"/>
              </w:rPr>
            </w:pPr>
            <w:r>
              <w:rPr>
                <w:rFonts w:ascii="Calibri"/>
                <w:color w:val="000000"/>
                <w:sz w:val="20"/>
                <w:szCs w:val="20"/>
              </w:rPr>
              <w:t>A document stating the registered</w:t>
            </w:r>
            <w:r w:rsidRPr="000C12E9">
              <w:rPr>
                <w:rFonts w:ascii="Calibri"/>
                <w:color w:val="000000"/>
                <w:sz w:val="20"/>
                <w:szCs w:val="20"/>
              </w:rPr>
              <w:t xml:space="preserve"> “Legal Entity Identifier”</w:t>
            </w:r>
            <w:r>
              <w:rPr>
                <w:rFonts w:ascii="Calibri"/>
                <w:color w:val="000000"/>
                <w:sz w:val="20"/>
                <w:szCs w:val="20"/>
              </w:rPr>
              <w:t xml:space="preserve"> of the client.</w:t>
            </w:r>
          </w:p>
        </w:tc>
      </w:tr>
      <w:tr w:rsidR="00DD4AA2" w:rsidRPr="007A7777" w:rsidTr="002104B2">
        <w:trPr>
          <w:cantSplit/>
          <w:tblHeader/>
        </w:trPr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FFFFFF" w:fill="FFFFFF"/>
            <w:vAlign w:val="center"/>
          </w:tcPr>
          <w:p w:rsidR="00DD4AA2" w:rsidRPr="007A7777" w:rsidRDefault="00DD4AA2" w:rsidP="002E4D51">
            <w:pPr>
              <w:pStyle w:val="NoSpacing"/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rFonts w:ascii="Calibri"/>
                <w:color w:val="000000"/>
                <w:sz w:val="20"/>
                <w:szCs w:val="20"/>
              </w:rPr>
              <w:t>Reporting Consent</w:t>
            </w:r>
          </w:p>
        </w:tc>
        <w:tc>
          <w:tcPr>
            <w:tcW w:w="70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FFFFFF" w:fill="FFFFFF"/>
          </w:tcPr>
          <w:p w:rsidR="00DD4AA2" w:rsidRPr="007A7777" w:rsidRDefault="00DD4AA2" w:rsidP="00DD4AA2">
            <w:pPr>
              <w:pStyle w:val="NoSpacing"/>
              <w:spacing w:before="60" w:after="60"/>
              <w:jc w:val="both"/>
              <w:rPr>
                <w:sz w:val="20"/>
                <w:szCs w:val="20"/>
              </w:rPr>
            </w:pPr>
            <w:r>
              <w:rPr>
                <w:rFonts w:ascii="Calibri"/>
                <w:color w:val="000000"/>
                <w:sz w:val="20"/>
                <w:szCs w:val="20"/>
              </w:rPr>
              <w:t xml:space="preserve">A consent agreement provided by </w:t>
            </w:r>
            <w:r w:rsidRPr="000C12E9">
              <w:rPr>
                <w:rFonts w:ascii="Calibri"/>
                <w:color w:val="000000"/>
                <w:sz w:val="20"/>
                <w:szCs w:val="20"/>
              </w:rPr>
              <w:t>counterparty</w:t>
            </w:r>
            <w:r>
              <w:rPr>
                <w:rFonts w:ascii="Calibri"/>
                <w:color w:val="000000"/>
                <w:sz w:val="20"/>
                <w:szCs w:val="20"/>
              </w:rPr>
              <w:t>/client</w:t>
            </w:r>
            <w:r w:rsidRPr="000C12E9">
              <w:rPr>
                <w:rFonts w:ascii="Calibri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alibri"/>
                <w:color w:val="000000"/>
                <w:sz w:val="20"/>
                <w:szCs w:val="20"/>
              </w:rPr>
              <w:t xml:space="preserve">to enable the </w:t>
            </w:r>
            <w:r w:rsidRPr="000C12E9">
              <w:rPr>
                <w:rFonts w:ascii="Calibri"/>
                <w:color w:val="000000"/>
                <w:sz w:val="20"/>
                <w:szCs w:val="20"/>
              </w:rPr>
              <w:t xml:space="preserve">necessary </w:t>
            </w:r>
            <w:r>
              <w:rPr>
                <w:rFonts w:ascii="Calibri"/>
                <w:color w:val="000000"/>
                <w:sz w:val="20"/>
                <w:szCs w:val="20"/>
              </w:rPr>
              <w:t>reporting based on the client’s data to be performed</w:t>
            </w:r>
            <w:r w:rsidRPr="000C12E9">
              <w:rPr>
                <w:rFonts w:ascii="Calibri"/>
                <w:color w:val="000000"/>
                <w:sz w:val="20"/>
                <w:szCs w:val="20"/>
              </w:rPr>
              <w:t>.</w:t>
            </w:r>
          </w:p>
        </w:tc>
      </w:tr>
    </w:tbl>
    <w:p w:rsidR="00C25F7F" w:rsidRDefault="00C25F7F" w:rsidP="00D73D61"/>
    <w:p w:rsidR="00470671" w:rsidRDefault="00DD4AA2" w:rsidP="00D73D61">
      <w:r>
        <w:t xml:space="preserve">Each document is filed for the client against a </w:t>
      </w:r>
      <w:r w:rsidR="00DB4E95">
        <w:t>FNB</w:t>
      </w:r>
      <w:r>
        <w:t xml:space="preserve"> legal entity. Availability of a particular document </w:t>
      </w:r>
      <w:r w:rsidR="008C5D9B">
        <w:t xml:space="preserve">is indicated by </w:t>
      </w:r>
      <w:r>
        <w:t xml:space="preserve">a RED or a GREEN status. RED status indicates that the particular document </w:t>
      </w:r>
      <w:r w:rsidR="00470671">
        <w:t xml:space="preserve">for the </w:t>
      </w:r>
      <w:r w:rsidR="00BB2060">
        <w:t>client</w:t>
      </w:r>
      <w:r w:rsidR="00470671">
        <w:t>/</w:t>
      </w:r>
      <w:r w:rsidR="00B75CCC">
        <w:t>reporting counterparty combination</w:t>
      </w:r>
      <w:r w:rsidR="00470671">
        <w:t xml:space="preserve"> </w:t>
      </w:r>
      <w:r>
        <w:t>is not available</w:t>
      </w:r>
      <w:r w:rsidR="00B17F35">
        <w:t xml:space="preserve"> or has expired</w:t>
      </w:r>
      <w:r>
        <w:t>. During GTT check</w:t>
      </w:r>
      <w:r w:rsidR="00A91E6F">
        <w:t xml:space="preserve"> for a trade</w:t>
      </w:r>
      <w:r>
        <w:t xml:space="preserve">, </w:t>
      </w:r>
      <w:r>
        <w:lastRenderedPageBreak/>
        <w:t xml:space="preserve">if one of </w:t>
      </w:r>
      <w:r w:rsidR="00470671">
        <w:t xml:space="preserve">the </w:t>
      </w:r>
      <w:r>
        <w:t>3 documents of the c</w:t>
      </w:r>
      <w:r w:rsidR="00470671">
        <w:t xml:space="preserve">lient </w:t>
      </w:r>
      <w:r>
        <w:t>against the reporting counterparty is of status RED</w:t>
      </w:r>
      <w:r w:rsidR="00B17F35">
        <w:t xml:space="preserve"> </w:t>
      </w:r>
      <w:r>
        <w:t xml:space="preserve">then </w:t>
      </w:r>
      <w:r w:rsidR="001C05B9">
        <w:t xml:space="preserve">the </w:t>
      </w:r>
      <w:r w:rsidR="00DE3546">
        <w:t xml:space="preserve">GTT </w:t>
      </w:r>
      <w:r w:rsidR="00470671">
        <w:t xml:space="preserve">requirement </w:t>
      </w:r>
      <w:r w:rsidR="001C05B9">
        <w:t xml:space="preserve">of this </w:t>
      </w:r>
      <w:r w:rsidR="00470671">
        <w:t>trade</w:t>
      </w:r>
      <w:r w:rsidR="001C05B9">
        <w:t xml:space="preserve"> in</w:t>
      </w:r>
      <w:r w:rsidR="00470671">
        <w:t xml:space="preserve"> SFTR products </w:t>
      </w:r>
      <w:r w:rsidR="00B81A60">
        <w:t xml:space="preserve">has failed, </w:t>
      </w:r>
      <w:r w:rsidR="00470671">
        <w:t xml:space="preserve">and hence </w:t>
      </w:r>
      <w:r w:rsidR="00E757C6">
        <w:t xml:space="preserve">the trade </w:t>
      </w:r>
      <w:r w:rsidR="00470671">
        <w:t>should be flagge</w:t>
      </w:r>
      <w:r w:rsidR="00DE3546">
        <w:t>d to the Customer Support Team.</w:t>
      </w:r>
    </w:p>
    <w:p w:rsidR="008727EE" w:rsidRDefault="00B75CCC" w:rsidP="00D73D61">
      <w:r>
        <w:t xml:space="preserve">If all the 3 documents </w:t>
      </w:r>
      <w:r w:rsidR="00487941">
        <w:t xml:space="preserve">for the client against the reporting counterparty </w:t>
      </w:r>
      <w:r>
        <w:t>have a ‘GREEN’ status, then the trade</w:t>
      </w:r>
      <w:r w:rsidR="00470671">
        <w:t xml:space="preserve"> </w:t>
      </w:r>
      <w:r>
        <w:t xml:space="preserve">is considered </w:t>
      </w:r>
      <w:r w:rsidR="005B468B">
        <w:t xml:space="preserve">to have happened under </w:t>
      </w:r>
      <w:r w:rsidR="00975A21">
        <w:t xml:space="preserve">satisfactory </w:t>
      </w:r>
      <w:r>
        <w:t xml:space="preserve">good to trade </w:t>
      </w:r>
      <w:r w:rsidR="005B468B">
        <w:t xml:space="preserve">condition </w:t>
      </w:r>
      <w:r>
        <w:t xml:space="preserve">and </w:t>
      </w:r>
      <w:r w:rsidR="00470671">
        <w:t>nothing</w:t>
      </w:r>
      <w:r>
        <w:t xml:space="preserve"> </w:t>
      </w:r>
      <w:r w:rsidR="00470671">
        <w:t xml:space="preserve">needs to be </w:t>
      </w:r>
      <w:r w:rsidR="00FD2930">
        <w:t>done</w:t>
      </w:r>
      <w:r w:rsidR="00470671">
        <w:t xml:space="preserve">. </w:t>
      </w:r>
    </w:p>
    <w:p w:rsidR="00E45096" w:rsidRPr="00FD5516" w:rsidRDefault="00A23A29" w:rsidP="006C7D65">
      <w:pPr>
        <w:pStyle w:val="Heading1"/>
      </w:pPr>
      <w:bookmarkStart w:id="4" w:name="_Toc75882701"/>
      <w:r>
        <w:t xml:space="preserve">The </w:t>
      </w:r>
      <w:r w:rsidR="000C38E1">
        <w:t>Challenge</w:t>
      </w:r>
      <w:bookmarkEnd w:id="4"/>
    </w:p>
    <w:p w:rsidR="00341E87" w:rsidRDefault="00BF75E2" w:rsidP="00B8764C">
      <w:r>
        <w:t>D</w:t>
      </w:r>
      <w:r w:rsidR="00FD5516">
        <w:t>evelop a</w:t>
      </w:r>
      <w:r w:rsidR="000630B4">
        <w:t xml:space="preserve"> system</w:t>
      </w:r>
      <w:r w:rsidR="008D5E48">
        <w:t xml:space="preserve"> of</w:t>
      </w:r>
      <w:r w:rsidR="00FD5516">
        <w:t xml:space="preserve"> ‘Good to trade’ application</w:t>
      </w:r>
      <w:r w:rsidR="00B2316D">
        <w:t>s</w:t>
      </w:r>
      <w:r w:rsidR="00FD5516">
        <w:t xml:space="preserve"> to support the</w:t>
      </w:r>
      <w:r w:rsidR="00341E87">
        <w:t xml:space="preserve"> SFTR asset class.</w:t>
      </w:r>
    </w:p>
    <w:p w:rsidR="0094655A" w:rsidRDefault="00B8764C" w:rsidP="00B8764C">
      <w:r>
        <w:t xml:space="preserve">The </w:t>
      </w:r>
      <w:r w:rsidR="009D7FB3">
        <w:t>system</w:t>
      </w:r>
      <w:r w:rsidR="00A9758D">
        <w:t xml:space="preserve"> shall</w:t>
      </w:r>
      <w:r w:rsidR="00AB0DC7">
        <w:t xml:space="preserve"> have a </w:t>
      </w:r>
      <w:r w:rsidR="003411BE">
        <w:t xml:space="preserve">UI </w:t>
      </w:r>
      <w:r>
        <w:t xml:space="preserve">that enables the </w:t>
      </w:r>
      <w:r w:rsidR="00AB0DC7">
        <w:t>Customer Support Team</w:t>
      </w:r>
      <w:r>
        <w:t xml:space="preserve"> to perform these 3 queries: </w:t>
      </w:r>
    </w:p>
    <w:p w:rsidR="00BF72C7" w:rsidRDefault="007C0080" w:rsidP="00FF25C7">
      <w:pPr>
        <w:pStyle w:val="ListParagraph"/>
        <w:numPr>
          <w:ilvl w:val="0"/>
          <w:numId w:val="23"/>
        </w:numPr>
      </w:pPr>
      <w:r>
        <w:t xml:space="preserve">Query by </w:t>
      </w:r>
      <w:r w:rsidR="0094655A">
        <w:t xml:space="preserve">‘Date’: </w:t>
      </w:r>
    </w:p>
    <w:p w:rsidR="00570EA4" w:rsidRDefault="00FD2930" w:rsidP="00FF25C7">
      <w:pPr>
        <w:pStyle w:val="ListParagraph"/>
        <w:numPr>
          <w:ilvl w:val="1"/>
          <w:numId w:val="23"/>
        </w:numPr>
      </w:pPr>
      <w:r>
        <w:t>Display all</w:t>
      </w:r>
      <w:r w:rsidR="0094655A">
        <w:t xml:space="preserve"> </w:t>
      </w:r>
      <w:r>
        <w:t>c</w:t>
      </w:r>
      <w:r w:rsidR="00AB0DC7">
        <w:t xml:space="preserve">lients </w:t>
      </w:r>
      <w:r w:rsidR="003903EB">
        <w:t xml:space="preserve">of which their trades fail </w:t>
      </w:r>
      <w:r w:rsidR="00B0327B">
        <w:t>GTT</w:t>
      </w:r>
      <w:r w:rsidR="00AB0DC7">
        <w:t xml:space="preserve"> </w:t>
      </w:r>
      <w:r>
        <w:t>for the given date</w:t>
      </w:r>
      <w:r w:rsidR="00570EA4">
        <w:t xml:space="preserve">. </w:t>
      </w:r>
    </w:p>
    <w:p w:rsidR="008C1200" w:rsidRDefault="008C1200" w:rsidP="00FF25C7">
      <w:pPr>
        <w:pStyle w:val="ListParagraph"/>
        <w:numPr>
          <w:ilvl w:val="1"/>
          <w:numId w:val="23"/>
        </w:numPr>
      </w:pPr>
      <w:r>
        <w:t>For each client, display:</w:t>
      </w:r>
    </w:p>
    <w:p w:rsidR="008C1200" w:rsidRDefault="008C1200" w:rsidP="008C1200">
      <w:pPr>
        <w:pStyle w:val="ListParagraph"/>
        <w:numPr>
          <w:ilvl w:val="2"/>
          <w:numId w:val="23"/>
        </w:numPr>
      </w:pPr>
      <w:r>
        <w:t xml:space="preserve">The </w:t>
      </w:r>
      <w:r w:rsidR="00570EA4">
        <w:t xml:space="preserve">incomplete documents on the </w:t>
      </w:r>
      <w:r w:rsidR="00DB4E95">
        <w:t>FNB</w:t>
      </w:r>
      <w:r w:rsidR="00570EA4">
        <w:t xml:space="preserve"> entity</w:t>
      </w:r>
      <w:r w:rsidR="00FD2930">
        <w:t xml:space="preserve"> </w:t>
      </w:r>
    </w:p>
    <w:p w:rsidR="0094655A" w:rsidRDefault="008C6F88" w:rsidP="008C1200">
      <w:pPr>
        <w:pStyle w:val="ListParagraph"/>
        <w:numPr>
          <w:ilvl w:val="2"/>
          <w:numId w:val="23"/>
        </w:numPr>
      </w:pPr>
      <w:r>
        <w:t>T</w:t>
      </w:r>
      <w:r w:rsidR="0028162F">
        <w:t>he</w:t>
      </w:r>
      <w:r w:rsidR="00FD2930">
        <w:t xml:space="preserve"> trades </w:t>
      </w:r>
      <w:r w:rsidR="00054C76">
        <w:t>that failed GTT</w:t>
      </w:r>
      <w:r w:rsidR="00570EA4">
        <w:t>.</w:t>
      </w:r>
    </w:p>
    <w:p w:rsidR="00570EA4" w:rsidRDefault="00570EA4" w:rsidP="00FF25C7">
      <w:pPr>
        <w:pStyle w:val="ListParagraph"/>
        <w:numPr>
          <w:ilvl w:val="1"/>
          <w:numId w:val="23"/>
        </w:numPr>
      </w:pPr>
      <w:r>
        <w:t>If all clients are GTT for all trades on the given date –</w:t>
      </w:r>
      <w:r w:rsidR="00195C75">
        <w:t xml:space="preserve"> display </w:t>
      </w:r>
      <w:r w:rsidR="00E72A2B">
        <w:t xml:space="preserve">this </w:t>
      </w:r>
      <w:r w:rsidR="0094732F">
        <w:t>message</w:t>
      </w:r>
      <w:r w:rsidR="00E50BEC">
        <w:t xml:space="preserve"> </w:t>
      </w:r>
      <w:r w:rsidR="00195C75">
        <w:t>to the user.</w:t>
      </w:r>
    </w:p>
    <w:p w:rsidR="0094655A" w:rsidRDefault="007375F1" w:rsidP="00FF25C7">
      <w:pPr>
        <w:pStyle w:val="ListParagraph"/>
        <w:numPr>
          <w:ilvl w:val="0"/>
          <w:numId w:val="23"/>
        </w:numPr>
      </w:pPr>
      <w:r>
        <w:t>Query by</w:t>
      </w:r>
      <w:r w:rsidR="0094655A">
        <w:t xml:space="preserve"> ‘Trade ID’:</w:t>
      </w:r>
    </w:p>
    <w:p w:rsidR="00127984" w:rsidRDefault="00570EA4" w:rsidP="00570EA4">
      <w:pPr>
        <w:pStyle w:val="ListParagraph"/>
        <w:numPr>
          <w:ilvl w:val="1"/>
          <w:numId w:val="23"/>
        </w:numPr>
      </w:pPr>
      <w:r>
        <w:t>Display why the</w:t>
      </w:r>
      <w:r w:rsidR="00AB0DC7">
        <w:t xml:space="preserve"> trade is not GTT</w:t>
      </w:r>
      <w:r w:rsidR="00127984">
        <w:t>. Display:</w:t>
      </w:r>
    </w:p>
    <w:p w:rsidR="00127984" w:rsidRDefault="00127984" w:rsidP="00127984">
      <w:pPr>
        <w:pStyle w:val="ListParagraph"/>
        <w:numPr>
          <w:ilvl w:val="2"/>
          <w:numId w:val="23"/>
        </w:numPr>
      </w:pPr>
      <w:r>
        <w:t>The client</w:t>
      </w:r>
    </w:p>
    <w:p w:rsidR="00127984" w:rsidRDefault="00127984" w:rsidP="00127984">
      <w:pPr>
        <w:pStyle w:val="ListParagraph"/>
        <w:numPr>
          <w:ilvl w:val="2"/>
          <w:numId w:val="23"/>
        </w:numPr>
      </w:pPr>
      <w:r>
        <w:t xml:space="preserve">The </w:t>
      </w:r>
      <w:r w:rsidR="00DB4E95">
        <w:t>FNB</w:t>
      </w:r>
      <w:r>
        <w:t xml:space="preserve"> entity</w:t>
      </w:r>
    </w:p>
    <w:p w:rsidR="00FD2930" w:rsidRDefault="00127984" w:rsidP="00127984">
      <w:pPr>
        <w:pStyle w:val="ListParagraph"/>
        <w:numPr>
          <w:ilvl w:val="2"/>
          <w:numId w:val="23"/>
        </w:numPr>
      </w:pPr>
      <w:r>
        <w:t>T</w:t>
      </w:r>
      <w:r w:rsidR="00570EA4">
        <w:t>he incomp</w:t>
      </w:r>
      <w:r w:rsidR="0028162F">
        <w:t>lete documents</w:t>
      </w:r>
    </w:p>
    <w:p w:rsidR="0094655A" w:rsidRDefault="00FD2930" w:rsidP="00FF25C7">
      <w:pPr>
        <w:pStyle w:val="ListParagraph"/>
        <w:numPr>
          <w:ilvl w:val="1"/>
          <w:numId w:val="23"/>
        </w:numPr>
      </w:pPr>
      <w:r>
        <w:t xml:space="preserve">If the trade is GTT </w:t>
      </w:r>
      <w:r w:rsidR="00570EA4">
        <w:t xml:space="preserve">– display </w:t>
      </w:r>
      <w:r w:rsidR="00BF3896">
        <w:t xml:space="preserve">this message </w:t>
      </w:r>
      <w:r w:rsidR="00570EA4">
        <w:t>to the user.</w:t>
      </w:r>
    </w:p>
    <w:p w:rsidR="0094655A" w:rsidRDefault="00784972" w:rsidP="00FF25C7">
      <w:pPr>
        <w:pStyle w:val="ListParagraph"/>
        <w:numPr>
          <w:ilvl w:val="0"/>
          <w:numId w:val="23"/>
        </w:numPr>
      </w:pPr>
      <w:r>
        <w:t>Query</w:t>
      </w:r>
      <w:r w:rsidR="0094655A">
        <w:t xml:space="preserve"> a ‘Client ID’:</w:t>
      </w:r>
    </w:p>
    <w:p w:rsidR="00B502CF" w:rsidRDefault="0028162F" w:rsidP="00B502CF">
      <w:pPr>
        <w:pStyle w:val="ListParagraph"/>
        <w:numPr>
          <w:ilvl w:val="1"/>
          <w:numId w:val="23"/>
        </w:numPr>
      </w:pPr>
      <w:r>
        <w:t>Display all</w:t>
      </w:r>
      <w:r w:rsidR="00570EA4">
        <w:t xml:space="preserve"> </w:t>
      </w:r>
      <w:r w:rsidR="00DB4E95">
        <w:t>FNB</w:t>
      </w:r>
      <w:r w:rsidR="001D0E31">
        <w:t xml:space="preserve"> </w:t>
      </w:r>
      <w:r w:rsidR="00570EA4">
        <w:t xml:space="preserve">entities </w:t>
      </w:r>
      <w:r w:rsidR="004B6686">
        <w:t>where the</w:t>
      </w:r>
      <w:r w:rsidR="00570EA4">
        <w:t xml:space="preserve"> client is not setup correctly. For each </w:t>
      </w:r>
      <w:r w:rsidR="00DB4E95">
        <w:t>FNB</w:t>
      </w:r>
      <w:r w:rsidR="006E6B69">
        <w:t xml:space="preserve"> </w:t>
      </w:r>
      <w:r w:rsidR="00570EA4">
        <w:t>entity</w:t>
      </w:r>
      <w:r w:rsidR="00B502CF">
        <w:t>, display:</w:t>
      </w:r>
    </w:p>
    <w:p w:rsidR="00B502CF" w:rsidRDefault="00570EA4" w:rsidP="00B502CF">
      <w:pPr>
        <w:pStyle w:val="ListParagraph"/>
        <w:numPr>
          <w:ilvl w:val="2"/>
          <w:numId w:val="23"/>
        </w:numPr>
      </w:pPr>
      <w:r>
        <w:t xml:space="preserve">the incomplete documents </w:t>
      </w:r>
    </w:p>
    <w:p w:rsidR="00BF72C7" w:rsidRDefault="00570EA4" w:rsidP="00B502CF">
      <w:pPr>
        <w:pStyle w:val="ListParagraph"/>
        <w:numPr>
          <w:ilvl w:val="2"/>
          <w:numId w:val="23"/>
        </w:numPr>
      </w:pPr>
      <w:r>
        <w:t>the trades done</w:t>
      </w:r>
      <w:r w:rsidR="00AC3E71">
        <w:t xml:space="preserve"> by the client</w:t>
      </w:r>
    </w:p>
    <w:p w:rsidR="00570EA4" w:rsidRDefault="00570EA4" w:rsidP="00FF25C7">
      <w:pPr>
        <w:pStyle w:val="ListParagraph"/>
        <w:numPr>
          <w:ilvl w:val="1"/>
          <w:numId w:val="23"/>
        </w:numPr>
      </w:pPr>
      <w:r>
        <w:t xml:space="preserve">If the client is GTT for all in scope </w:t>
      </w:r>
      <w:r w:rsidR="00DB4E95">
        <w:t>FNB</w:t>
      </w:r>
      <w:r>
        <w:t xml:space="preserve"> entities – report </w:t>
      </w:r>
      <w:r w:rsidR="00406AA0">
        <w:t xml:space="preserve">this message </w:t>
      </w:r>
      <w:r>
        <w:t>to the user.</w:t>
      </w:r>
    </w:p>
    <w:p w:rsidR="00CE2BA8" w:rsidRDefault="00CE2BA8" w:rsidP="00CE2BA8">
      <w:pPr>
        <w:pStyle w:val="Heading2"/>
      </w:pPr>
      <w:bookmarkStart w:id="5" w:name="_Toc75882702"/>
      <w:r>
        <w:t>Suggested System Components</w:t>
      </w:r>
      <w:bookmarkEnd w:id="5"/>
    </w:p>
    <w:p w:rsidR="00FD2930" w:rsidRDefault="00CE2BA8" w:rsidP="00FD2930">
      <w:r>
        <w:t xml:space="preserve">This </w:t>
      </w:r>
      <w:r w:rsidR="00FD2930">
        <w:t xml:space="preserve">is an example solution </w:t>
      </w:r>
      <w:r>
        <w:t xml:space="preserve">to support the </w:t>
      </w:r>
      <w:r w:rsidR="006F514C">
        <w:t xml:space="preserve">3 scenarios. It consists of these </w:t>
      </w:r>
      <w:r w:rsidR="00A31850">
        <w:t xml:space="preserve">application </w:t>
      </w:r>
      <w:r w:rsidR="006F514C">
        <w:t>components:</w:t>
      </w:r>
    </w:p>
    <w:p w:rsidR="00A23A29" w:rsidRDefault="007B48D8" w:rsidP="00A23A29">
      <w:pPr>
        <w:pStyle w:val="ListParagraph"/>
        <w:numPr>
          <w:ilvl w:val="0"/>
          <w:numId w:val="3"/>
        </w:numPr>
      </w:pPr>
      <w:r>
        <w:t xml:space="preserve">File </w:t>
      </w:r>
      <w:r w:rsidR="00A23A29">
        <w:t>Parser:</w:t>
      </w:r>
    </w:p>
    <w:p w:rsidR="00A23A29" w:rsidRDefault="00A23A29" w:rsidP="00FF25C7">
      <w:pPr>
        <w:pStyle w:val="ListParagraph"/>
        <w:numPr>
          <w:ilvl w:val="1"/>
          <w:numId w:val="24"/>
        </w:numPr>
      </w:pPr>
      <w:r>
        <w:t xml:space="preserve">Read </w:t>
      </w:r>
      <w:r w:rsidR="007B48D8">
        <w:t>the Trade</w:t>
      </w:r>
      <w:r w:rsidR="00EA050A">
        <w:t xml:space="preserve"> data</w:t>
      </w:r>
      <w:r w:rsidR="007B48D8">
        <w:t xml:space="preserve"> supplied</w:t>
      </w:r>
      <w:r>
        <w:t xml:space="preserve"> </w:t>
      </w:r>
      <w:r w:rsidR="00EA050A">
        <w:t>(tr</w:t>
      </w:r>
      <w:r>
        <w:t>ade</w:t>
      </w:r>
      <w:r w:rsidR="00EA050A">
        <w:t>s.txt</w:t>
      </w:r>
      <w:r>
        <w:t>)</w:t>
      </w:r>
    </w:p>
    <w:p w:rsidR="00EA050A" w:rsidRDefault="00AB0DC7" w:rsidP="00FF25C7">
      <w:pPr>
        <w:pStyle w:val="ListParagraph"/>
        <w:numPr>
          <w:ilvl w:val="1"/>
          <w:numId w:val="24"/>
        </w:numPr>
      </w:pPr>
      <w:r>
        <w:t>Store the trade data</w:t>
      </w:r>
      <w:r w:rsidR="00A23A29">
        <w:t xml:space="preserve"> into a database </w:t>
      </w:r>
      <w:r w:rsidR="007B48D8">
        <w:t>(s</w:t>
      </w:r>
      <w:r w:rsidR="00A23A29">
        <w:t>elect which fields from the trade you will require to store</w:t>
      </w:r>
      <w:r w:rsidR="007B48D8">
        <w:t>)</w:t>
      </w:r>
    </w:p>
    <w:p w:rsidR="00EA050A" w:rsidRDefault="00EA050A" w:rsidP="00EA050A">
      <w:pPr>
        <w:pStyle w:val="ListParagraph"/>
        <w:ind w:left="1440"/>
      </w:pPr>
    </w:p>
    <w:p w:rsidR="00A23A29" w:rsidRDefault="00A23A29" w:rsidP="00EA050A">
      <w:pPr>
        <w:pStyle w:val="ListParagraph"/>
        <w:numPr>
          <w:ilvl w:val="0"/>
          <w:numId w:val="3"/>
        </w:numPr>
      </w:pPr>
      <w:r>
        <w:t xml:space="preserve">GTT </w:t>
      </w:r>
      <w:r w:rsidR="000750B1">
        <w:t>Backend Application</w:t>
      </w:r>
      <w:r w:rsidR="001137BA">
        <w:t>(</w:t>
      </w:r>
      <w:r w:rsidR="0043360B">
        <w:t>s</w:t>
      </w:r>
      <w:r w:rsidR="001137BA">
        <w:t>)</w:t>
      </w:r>
      <w:r>
        <w:t>:</w:t>
      </w:r>
    </w:p>
    <w:p w:rsidR="00A23A29" w:rsidRDefault="003C6DE4" w:rsidP="00FF25C7">
      <w:pPr>
        <w:pStyle w:val="ListParagraph"/>
        <w:numPr>
          <w:ilvl w:val="1"/>
          <w:numId w:val="25"/>
        </w:numPr>
      </w:pPr>
      <w:r>
        <w:t>Provide</w:t>
      </w:r>
      <w:r w:rsidR="00A75484">
        <w:t xml:space="preserve"> </w:t>
      </w:r>
      <w:r w:rsidR="005870F9">
        <w:t xml:space="preserve">Rest </w:t>
      </w:r>
      <w:r w:rsidR="00A75484">
        <w:t>A</w:t>
      </w:r>
      <w:r w:rsidR="00A23A29">
        <w:t xml:space="preserve">PI functions that </w:t>
      </w:r>
      <w:r w:rsidR="005870F9">
        <w:t>will be invoked from the frontend for the 3 user q</w:t>
      </w:r>
      <w:r w:rsidR="00A23A29">
        <w:t xml:space="preserve">ueries </w:t>
      </w:r>
    </w:p>
    <w:p w:rsidR="00696727" w:rsidRDefault="00FC474E" w:rsidP="00570DF3">
      <w:pPr>
        <w:pStyle w:val="ListParagraph"/>
        <w:numPr>
          <w:ilvl w:val="1"/>
          <w:numId w:val="25"/>
        </w:numPr>
      </w:pPr>
      <w:r>
        <w:t xml:space="preserve">Provide </w:t>
      </w:r>
      <w:r w:rsidR="007B60CE">
        <w:t xml:space="preserve">GTT </w:t>
      </w:r>
      <w:r w:rsidR="0073063F">
        <w:t>service</w:t>
      </w:r>
      <w:r w:rsidR="00D32A77">
        <w:t xml:space="preserve"> </w:t>
      </w:r>
      <w:r w:rsidR="007B60CE">
        <w:t xml:space="preserve">that will be called </w:t>
      </w:r>
      <w:r w:rsidR="007361F3">
        <w:t xml:space="preserve">to </w:t>
      </w:r>
      <w:r w:rsidR="007B60CE">
        <w:t xml:space="preserve">get </w:t>
      </w:r>
      <w:r w:rsidR="005870F9">
        <w:t>the</w:t>
      </w:r>
      <w:r w:rsidR="00570DF3">
        <w:t xml:space="preserve"> GTT </w:t>
      </w:r>
      <w:r w:rsidR="007B60CE">
        <w:t>status for a given counterparty/reporting counterparty combination</w:t>
      </w:r>
      <w:r w:rsidR="00DE4C71">
        <w:t>.</w:t>
      </w:r>
    </w:p>
    <w:p w:rsidR="005870F9" w:rsidRDefault="005870F9" w:rsidP="00570DF3">
      <w:pPr>
        <w:pStyle w:val="ListParagraph"/>
        <w:numPr>
          <w:ilvl w:val="1"/>
          <w:numId w:val="25"/>
        </w:numPr>
      </w:pPr>
      <w:r>
        <w:t>Decide how you will design and implement this functionality</w:t>
      </w:r>
      <w:r w:rsidR="00696727">
        <w:t>.</w:t>
      </w:r>
    </w:p>
    <w:p w:rsidR="00A23A29" w:rsidRDefault="00A23A29" w:rsidP="00A23A29">
      <w:pPr>
        <w:pStyle w:val="ListParagraph"/>
        <w:ind w:left="1440"/>
      </w:pPr>
    </w:p>
    <w:p w:rsidR="00A23A29" w:rsidRDefault="00A23A29" w:rsidP="00A23A29">
      <w:pPr>
        <w:pStyle w:val="ListParagraph"/>
        <w:numPr>
          <w:ilvl w:val="0"/>
          <w:numId w:val="3"/>
        </w:numPr>
      </w:pPr>
      <w:r>
        <w:t>Front End</w:t>
      </w:r>
      <w:r w:rsidR="000750B1">
        <w:t xml:space="preserve"> Application</w:t>
      </w:r>
      <w:r>
        <w:t xml:space="preserve">: </w:t>
      </w:r>
      <w:r w:rsidR="00FD68B5">
        <w:t xml:space="preserve">UI for </w:t>
      </w:r>
      <w:r>
        <w:t xml:space="preserve">the User </w:t>
      </w:r>
    </w:p>
    <w:p w:rsidR="00347E02" w:rsidRDefault="00A21FC3" w:rsidP="00FF25C7">
      <w:pPr>
        <w:pStyle w:val="ListParagraph"/>
        <w:numPr>
          <w:ilvl w:val="0"/>
          <w:numId w:val="26"/>
        </w:numPr>
      </w:pPr>
      <w:r>
        <w:t>An</w:t>
      </w:r>
      <w:r w:rsidR="00315DF1">
        <w:t xml:space="preserve"> </w:t>
      </w:r>
      <w:r w:rsidR="00347E02">
        <w:t xml:space="preserve">example </w:t>
      </w:r>
      <w:r w:rsidR="00315DF1">
        <w:t xml:space="preserve">of a </w:t>
      </w:r>
      <w:r w:rsidR="003B2143">
        <w:t xml:space="preserve">web-based </w:t>
      </w:r>
      <w:r w:rsidR="00315DF1">
        <w:t xml:space="preserve">UI </w:t>
      </w:r>
      <w:r w:rsidR="003B2143">
        <w:t xml:space="preserve">is </w:t>
      </w:r>
      <w:r w:rsidR="00D10196">
        <w:t xml:space="preserve">being used </w:t>
      </w:r>
      <w:r w:rsidR="003B2143">
        <w:t>in the Examples section</w:t>
      </w:r>
      <w:r w:rsidR="00D57867">
        <w:t>.</w:t>
      </w:r>
    </w:p>
    <w:p w:rsidR="00A23A29" w:rsidRDefault="00347E02" w:rsidP="00FF25C7">
      <w:pPr>
        <w:pStyle w:val="ListParagraph"/>
        <w:numPr>
          <w:ilvl w:val="0"/>
          <w:numId w:val="26"/>
        </w:numPr>
      </w:pPr>
      <w:r>
        <w:t xml:space="preserve">Other examples: </w:t>
      </w:r>
    </w:p>
    <w:p w:rsidR="00A23A29" w:rsidRDefault="00A23A29" w:rsidP="00FF25C7">
      <w:pPr>
        <w:pStyle w:val="ListParagraph"/>
        <w:numPr>
          <w:ilvl w:val="1"/>
          <w:numId w:val="26"/>
        </w:numPr>
      </w:pPr>
      <w:r>
        <w:t xml:space="preserve">Logs / Email summary / Mobile App </w:t>
      </w:r>
    </w:p>
    <w:p w:rsidR="00A23A29" w:rsidRDefault="00A23A29" w:rsidP="00FF25C7">
      <w:pPr>
        <w:pStyle w:val="ListParagraph"/>
        <w:numPr>
          <w:ilvl w:val="1"/>
          <w:numId w:val="26"/>
        </w:numPr>
      </w:pPr>
      <w:r>
        <w:t>Explain why you chose your solution (advantages and disadvantages)</w:t>
      </w:r>
    </w:p>
    <w:p w:rsidR="00347E02" w:rsidRDefault="00512B1E" w:rsidP="00347E02">
      <w:r>
        <w:t xml:space="preserve">The components </w:t>
      </w:r>
      <w:r w:rsidR="00C73395">
        <w:t xml:space="preserve">can be built </w:t>
      </w:r>
      <w:r w:rsidR="00854148">
        <w:t>using a variety of technology suitable for the problem at hand.</w:t>
      </w:r>
    </w:p>
    <w:p w:rsidR="00B64E03" w:rsidRPr="00E406D5" w:rsidRDefault="00B64E03" w:rsidP="00B64E03">
      <w:pPr>
        <w:pStyle w:val="Heading2"/>
      </w:pPr>
      <w:bookmarkStart w:id="6" w:name="_Toc75882703"/>
      <w:r>
        <w:t>Challenge Judging Points</w:t>
      </w:r>
      <w:r w:rsidRPr="00E406D5">
        <w:t>:</w:t>
      </w:r>
      <w:bookmarkEnd w:id="6"/>
      <w:r w:rsidRPr="00E406D5">
        <w:t xml:space="preserve"> </w:t>
      </w:r>
    </w:p>
    <w:p w:rsidR="00B64E03" w:rsidRDefault="00B64E03" w:rsidP="00B64E03">
      <w:pPr>
        <w:numPr>
          <w:ilvl w:val="0"/>
          <w:numId w:val="35"/>
        </w:num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Backend Design, architecture</w:t>
      </w:r>
      <w:r w:rsidR="009141C9">
        <w:rPr>
          <w:rFonts w:ascii="Calibri" w:eastAsia="Times New Roman" w:hAnsi="Calibri" w:cs="Times New Roman"/>
          <w:color w:val="000000"/>
        </w:rPr>
        <w:t xml:space="preserve">, scalability, </w:t>
      </w:r>
      <w:r w:rsidR="00C005AD">
        <w:rPr>
          <w:rFonts w:ascii="Calibri" w:eastAsia="Times New Roman" w:hAnsi="Calibri" w:cs="Times New Roman"/>
          <w:color w:val="000000"/>
        </w:rPr>
        <w:t>maintainability</w:t>
      </w:r>
      <w:r>
        <w:rPr>
          <w:rFonts w:ascii="Calibri" w:eastAsia="Times New Roman" w:hAnsi="Calibri" w:cs="Times New Roman"/>
          <w:color w:val="000000"/>
        </w:rPr>
        <w:t xml:space="preserve"> and test cases (20 </w:t>
      </w:r>
      <w:proofErr w:type="spellStart"/>
      <w:r>
        <w:rPr>
          <w:rFonts w:ascii="Calibri" w:eastAsia="Times New Roman" w:hAnsi="Calibri" w:cs="Times New Roman"/>
          <w:color w:val="000000"/>
        </w:rPr>
        <w:t>pts</w:t>
      </w:r>
      <w:proofErr w:type="spellEnd"/>
      <w:r>
        <w:rPr>
          <w:rFonts w:ascii="Calibri" w:eastAsia="Times New Roman" w:hAnsi="Calibri" w:cs="Times New Roman"/>
          <w:color w:val="000000"/>
        </w:rPr>
        <w:t>)</w:t>
      </w:r>
    </w:p>
    <w:p w:rsidR="00B64E03" w:rsidRDefault="00B64E03" w:rsidP="00B64E03">
      <w:pPr>
        <w:numPr>
          <w:ilvl w:val="0"/>
          <w:numId w:val="35"/>
        </w:num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Development of</w:t>
      </w:r>
      <w:r w:rsidRPr="000B7C26">
        <w:rPr>
          <w:rFonts w:ascii="Calibri" w:eastAsia="Times New Roman" w:hAnsi="Calibri" w:cs="Times New Roman"/>
          <w:color w:val="000000"/>
        </w:rPr>
        <w:t xml:space="preserve"> the essential components</w:t>
      </w:r>
      <w:r>
        <w:rPr>
          <w:rFonts w:ascii="Calibri" w:eastAsia="Times New Roman" w:hAnsi="Calibri" w:cs="Times New Roman"/>
          <w:color w:val="000000"/>
        </w:rPr>
        <w:t xml:space="preserve"> (Parser, DB, API, Front End) (20 </w:t>
      </w:r>
      <w:proofErr w:type="spellStart"/>
      <w:r>
        <w:rPr>
          <w:rFonts w:ascii="Calibri" w:eastAsia="Times New Roman" w:hAnsi="Calibri" w:cs="Times New Roman"/>
          <w:color w:val="000000"/>
        </w:rPr>
        <w:t>pts</w:t>
      </w:r>
      <w:proofErr w:type="spellEnd"/>
      <w:r>
        <w:rPr>
          <w:rFonts w:ascii="Calibri" w:eastAsia="Times New Roman" w:hAnsi="Calibri" w:cs="Times New Roman"/>
          <w:color w:val="000000"/>
        </w:rPr>
        <w:t>)</w:t>
      </w:r>
    </w:p>
    <w:p w:rsidR="00B64E03" w:rsidRDefault="00B64E03" w:rsidP="00B64E03">
      <w:pPr>
        <w:numPr>
          <w:ilvl w:val="0"/>
          <w:numId w:val="35"/>
        </w:num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Correctness of results (20 </w:t>
      </w:r>
      <w:proofErr w:type="spellStart"/>
      <w:r>
        <w:rPr>
          <w:rFonts w:ascii="Calibri" w:eastAsia="Times New Roman" w:hAnsi="Calibri" w:cs="Times New Roman"/>
          <w:color w:val="000000"/>
        </w:rPr>
        <w:t>pts</w:t>
      </w:r>
      <w:proofErr w:type="spellEnd"/>
      <w:r>
        <w:rPr>
          <w:rFonts w:ascii="Calibri" w:eastAsia="Times New Roman" w:hAnsi="Calibri" w:cs="Times New Roman"/>
          <w:color w:val="000000"/>
        </w:rPr>
        <w:t>)</w:t>
      </w:r>
    </w:p>
    <w:p w:rsidR="00B64E03" w:rsidRDefault="00B64E03" w:rsidP="00B64E03">
      <w:pPr>
        <w:numPr>
          <w:ilvl w:val="0"/>
          <w:numId w:val="35"/>
        </w:num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Front End Design and Function (20 </w:t>
      </w:r>
      <w:proofErr w:type="spellStart"/>
      <w:r>
        <w:rPr>
          <w:rFonts w:ascii="Calibri" w:eastAsia="Times New Roman" w:hAnsi="Calibri" w:cs="Times New Roman"/>
          <w:color w:val="000000"/>
        </w:rPr>
        <w:t>pts</w:t>
      </w:r>
      <w:proofErr w:type="spellEnd"/>
      <w:r>
        <w:rPr>
          <w:rFonts w:ascii="Calibri" w:eastAsia="Times New Roman" w:hAnsi="Calibri" w:cs="Times New Roman"/>
          <w:color w:val="000000"/>
        </w:rPr>
        <w:t>)</w:t>
      </w:r>
      <w:r w:rsidRPr="00A023D5">
        <w:rPr>
          <w:rFonts w:ascii="Calibri" w:eastAsia="Times New Roman" w:hAnsi="Calibri" w:cs="Times New Roman"/>
          <w:color w:val="000000"/>
        </w:rPr>
        <w:t xml:space="preserve"> </w:t>
      </w:r>
    </w:p>
    <w:p w:rsidR="00B64E03" w:rsidRDefault="00B64E03" w:rsidP="00B64E03">
      <w:pPr>
        <w:numPr>
          <w:ilvl w:val="0"/>
          <w:numId w:val="35"/>
        </w:num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Presentation on thinking process, design considerations, solutions and challenges faced (20 </w:t>
      </w:r>
      <w:proofErr w:type="spellStart"/>
      <w:r>
        <w:rPr>
          <w:rFonts w:ascii="Calibri" w:eastAsia="Times New Roman" w:hAnsi="Calibri" w:cs="Times New Roman"/>
          <w:color w:val="000000"/>
        </w:rPr>
        <w:t>pts</w:t>
      </w:r>
      <w:proofErr w:type="spellEnd"/>
      <w:r>
        <w:rPr>
          <w:rFonts w:ascii="Calibri" w:eastAsia="Times New Roman" w:hAnsi="Calibri" w:cs="Times New Roman"/>
          <w:color w:val="000000"/>
        </w:rPr>
        <w:t>)</w:t>
      </w:r>
    </w:p>
    <w:p w:rsidR="00BC6832" w:rsidRPr="00A73B37" w:rsidRDefault="00BC6832" w:rsidP="00BC6832">
      <w:pPr>
        <w:spacing w:after="0" w:line="240" w:lineRule="auto"/>
        <w:ind w:left="720"/>
        <w:textAlignment w:val="center"/>
        <w:rPr>
          <w:rFonts w:ascii="Calibri" w:eastAsia="Times New Roman" w:hAnsi="Calibri" w:cs="Times New Roman"/>
          <w:color w:val="000000"/>
        </w:rPr>
      </w:pPr>
    </w:p>
    <w:p w:rsidR="00B64E03" w:rsidRPr="00E406D5" w:rsidRDefault="00BC6832" w:rsidP="00BC6832">
      <w:r>
        <w:t>Points to consider</w:t>
      </w:r>
      <w:r w:rsidR="00B64E03" w:rsidRPr="00E406D5">
        <w:t xml:space="preserve">: </w:t>
      </w:r>
    </w:p>
    <w:p w:rsidR="00A42CAF" w:rsidRDefault="00A42CAF" w:rsidP="00B64E03">
      <w:pPr>
        <w:pStyle w:val="ListParagraph"/>
        <w:numPr>
          <w:ilvl w:val="0"/>
          <w:numId w:val="34"/>
        </w:numPr>
      </w:pPr>
      <w:r>
        <w:t>You are free to implement using any framework of choice.</w:t>
      </w:r>
    </w:p>
    <w:p w:rsidR="0032235B" w:rsidRDefault="00280F1C" w:rsidP="00B64E03">
      <w:pPr>
        <w:pStyle w:val="ListParagraph"/>
        <w:numPr>
          <w:ilvl w:val="0"/>
          <w:numId w:val="34"/>
        </w:numPr>
      </w:pPr>
      <w:r>
        <w:t>Some s</w:t>
      </w:r>
      <w:r w:rsidR="000B7AC1">
        <w:t>uggested technology stacks</w:t>
      </w:r>
      <w:r w:rsidR="0032235B">
        <w:t xml:space="preserve"> are:</w:t>
      </w:r>
    </w:p>
    <w:p w:rsidR="0032235B" w:rsidRDefault="00B64E03" w:rsidP="0032235B">
      <w:pPr>
        <w:pStyle w:val="ListParagraph"/>
        <w:numPr>
          <w:ilvl w:val="1"/>
          <w:numId w:val="34"/>
        </w:numPr>
      </w:pPr>
      <w:r>
        <w:t>Python</w:t>
      </w:r>
      <w:r w:rsidR="006B7BC2">
        <w:t>/Java/Scala</w:t>
      </w:r>
    </w:p>
    <w:p w:rsidR="0032235B" w:rsidRDefault="00B64E03" w:rsidP="0032235B">
      <w:pPr>
        <w:pStyle w:val="ListParagraph"/>
        <w:numPr>
          <w:ilvl w:val="1"/>
          <w:numId w:val="34"/>
        </w:numPr>
      </w:pPr>
      <w:r>
        <w:t>Flask/</w:t>
      </w:r>
      <w:proofErr w:type="spellStart"/>
      <w:r>
        <w:t>Django</w:t>
      </w:r>
      <w:proofErr w:type="spellEnd"/>
      <w:r w:rsidR="00590320">
        <w:t>/Tomcat/Jetty/</w:t>
      </w:r>
      <w:r w:rsidR="00151817">
        <w:t>others</w:t>
      </w:r>
    </w:p>
    <w:p w:rsidR="00B64E03" w:rsidRDefault="00B64E03" w:rsidP="0032235B">
      <w:pPr>
        <w:pStyle w:val="ListParagraph"/>
        <w:numPr>
          <w:ilvl w:val="1"/>
          <w:numId w:val="34"/>
        </w:numPr>
      </w:pPr>
      <w:r>
        <w:t>SQLite3/MySQL</w:t>
      </w:r>
      <w:r w:rsidR="00B521F8">
        <w:t>/other</w:t>
      </w:r>
      <w:r>
        <w:t xml:space="preserve"> </w:t>
      </w:r>
      <w:proofErr w:type="spellStart"/>
      <w:r w:rsidR="006B7BC2">
        <w:t>db</w:t>
      </w:r>
      <w:proofErr w:type="spellEnd"/>
    </w:p>
    <w:p w:rsidR="00CC17C7" w:rsidRDefault="00B07D7A" w:rsidP="00B64E03">
      <w:pPr>
        <w:pStyle w:val="ListParagraph"/>
        <w:numPr>
          <w:ilvl w:val="0"/>
          <w:numId w:val="34"/>
        </w:numPr>
      </w:pPr>
      <w:r>
        <w:t>Your application code should show clear logic.</w:t>
      </w:r>
    </w:p>
    <w:p w:rsidR="00B64E03" w:rsidRDefault="00B64E03" w:rsidP="00B64E03">
      <w:pPr>
        <w:pStyle w:val="ListParagraph"/>
        <w:numPr>
          <w:ilvl w:val="0"/>
          <w:numId w:val="34"/>
        </w:numPr>
      </w:pPr>
      <w:r>
        <w:t xml:space="preserve">Determine what is useful to log and the </w:t>
      </w:r>
      <w:r w:rsidR="005E3326">
        <w:t xml:space="preserve">logging </w:t>
      </w:r>
      <w:r>
        <w:t>format</w:t>
      </w:r>
      <w:r w:rsidR="005E3326">
        <w:t>.</w:t>
      </w:r>
      <w:r>
        <w:t xml:space="preserve"> </w:t>
      </w:r>
    </w:p>
    <w:p w:rsidR="00B64E03" w:rsidRDefault="00D31774" w:rsidP="00B64E03">
      <w:pPr>
        <w:pStyle w:val="ListParagraph"/>
        <w:numPr>
          <w:ilvl w:val="0"/>
          <w:numId w:val="34"/>
        </w:numPr>
      </w:pPr>
      <w:r>
        <w:t>Attention to quality of code may be important. For example, a</w:t>
      </w:r>
      <w:r w:rsidR="00B64E03">
        <w:t>dd error handl</w:t>
      </w:r>
      <w:r>
        <w:t>ing throughout the application for frequent issues such as:</w:t>
      </w:r>
    </w:p>
    <w:p w:rsidR="00B64E03" w:rsidRDefault="00B64E03" w:rsidP="00B64E03">
      <w:pPr>
        <w:pStyle w:val="ListParagraph"/>
        <w:numPr>
          <w:ilvl w:val="1"/>
          <w:numId w:val="34"/>
        </w:numPr>
      </w:pPr>
      <w:r>
        <w:t>Connecting to the database fails</w:t>
      </w:r>
    </w:p>
    <w:p w:rsidR="00B64E03" w:rsidRDefault="00B64E03" w:rsidP="00B64E03">
      <w:pPr>
        <w:pStyle w:val="ListParagraph"/>
        <w:numPr>
          <w:ilvl w:val="1"/>
          <w:numId w:val="34"/>
        </w:numPr>
      </w:pPr>
      <w:r>
        <w:t>Error in input files (e.g. regulation is missing on some trades)</w:t>
      </w:r>
    </w:p>
    <w:p w:rsidR="000750B1" w:rsidRPr="00787470" w:rsidRDefault="00DF293D" w:rsidP="00787470">
      <w:pPr>
        <w:pStyle w:val="ListParagraph"/>
        <w:numPr>
          <w:ilvl w:val="0"/>
          <w:numId w:val="34"/>
        </w:numPr>
      </w:pPr>
      <w:r>
        <w:t xml:space="preserve">Design </w:t>
      </w:r>
      <w:r w:rsidR="00B64E03">
        <w:t xml:space="preserve">an intuitive </w:t>
      </w:r>
      <w:r w:rsidR="00FE5710">
        <w:t xml:space="preserve">UI </w:t>
      </w:r>
      <w:r w:rsidR="00B64E03">
        <w:t>for the user</w:t>
      </w:r>
    </w:p>
    <w:p w:rsidR="00A023D5" w:rsidRDefault="00952539" w:rsidP="00C05B27">
      <w:pPr>
        <w:pStyle w:val="Heading1"/>
      </w:pPr>
      <w:bookmarkStart w:id="7" w:name="_Toc75882704"/>
      <w:r>
        <w:t xml:space="preserve">Provided </w:t>
      </w:r>
      <w:r w:rsidR="00925A4C">
        <w:t>Data</w:t>
      </w:r>
      <w:bookmarkEnd w:id="7"/>
    </w:p>
    <w:p w:rsidR="00536EEE" w:rsidRDefault="00EA050A" w:rsidP="00C05B27">
      <w:pPr>
        <w:pStyle w:val="Heading2"/>
      </w:pPr>
      <w:bookmarkStart w:id="8" w:name="_Toc75882705"/>
      <w:r>
        <w:t>Trade Data</w:t>
      </w:r>
      <w:r w:rsidR="00AB0DC7">
        <w:t xml:space="preserve"> File</w:t>
      </w:r>
      <w:r w:rsidR="0050504D">
        <w:t xml:space="preserve"> (</w:t>
      </w:r>
      <w:proofErr w:type="spellStart"/>
      <w:r w:rsidR="00BE32CE">
        <w:t>gtt_trade_data.json</w:t>
      </w:r>
      <w:proofErr w:type="spellEnd"/>
      <w:r w:rsidR="0050504D">
        <w:t>)</w:t>
      </w:r>
      <w:bookmarkEnd w:id="8"/>
      <w:r w:rsidR="00536EEE">
        <w:t xml:space="preserve"> </w:t>
      </w:r>
    </w:p>
    <w:p w:rsidR="00536EEE" w:rsidRDefault="00536EEE" w:rsidP="00F118D1">
      <w:r>
        <w:t xml:space="preserve">Each line </w:t>
      </w:r>
      <w:r w:rsidR="00EA050A">
        <w:t>in the file is an individual trade</w:t>
      </w:r>
      <w:r w:rsidR="00F118D1">
        <w:t xml:space="preserve">. </w:t>
      </w:r>
      <w:r>
        <w:t>Each trade contains the following information</w:t>
      </w:r>
      <w:r w:rsidR="00CB0E5A">
        <w:t>:</w:t>
      </w:r>
    </w:p>
    <w:p w:rsidR="00CB0E5A" w:rsidRDefault="00CB0E5A" w:rsidP="00FF25C7">
      <w:pPr>
        <w:pStyle w:val="ListParagraph"/>
        <w:numPr>
          <w:ilvl w:val="0"/>
          <w:numId w:val="27"/>
        </w:numPr>
      </w:pPr>
      <w:r>
        <w:t>Counterparty (client)</w:t>
      </w:r>
    </w:p>
    <w:p w:rsidR="00CB0E5A" w:rsidRDefault="00CB0E5A" w:rsidP="00FF25C7">
      <w:pPr>
        <w:pStyle w:val="ListParagraph"/>
        <w:numPr>
          <w:ilvl w:val="0"/>
          <w:numId w:val="27"/>
        </w:numPr>
      </w:pPr>
      <w:r>
        <w:t>Reporting Counterparty (</w:t>
      </w:r>
      <w:r w:rsidR="00DB4E95">
        <w:t>FNB</w:t>
      </w:r>
      <w:r>
        <w:t xml:space="preserve"> entity)</w:t>
      </w:r>
    </w:p>
    <w:p w:rsidR="00CB0E5A" w:rsidRDefault="00CB0E5A" w:rsidP="00FF25C7">
      <w:pPr>
        <w:pStyle w:val="ListParagraph"/>
        <w:numPr>
          <w:ilvl w:val="0"/>
          <w:numId w:val="27"/>
        </w:numPr>
      </w:pPr>
      <w:r>
        <w:t>Date of trade</w:t>
      </w:r>
    </w:p>
    <w:p w:rsidR="00CB0E5A" w:rsidRDefault="00CB0E5A" w:rsidP="00FF25C7">
      <w:pPr>
        <w:pStyle w:val="ListParagraph"/>
        <w:numPr>
          <w:ilvl w:val="0"/>
          <w:numId w:val="27"/>
        </w:numPr>
      </w:pPr>
      <w:r>
        <w:t>ID of trade (unique across all dates</w:t>
      </w:r>
      <w:r w:rsidR="00255D5E">
        <w:t>/clients</w:t>
      </w:r>
      <w:r>
        <w:t>)</w:t>
      </w:r>
    </w:p>
    <w:p w:rsidR="00BB5C8E" w:rsidRDefault="00BB5C8E" w:rsidP="00FF25C7">
      <w:pPr>
        <w:pStyle w:val="ListParagraph"/>
        <w:numPr>
          <w:ilvl w:val="0"/>
          <w:numId w:val="27"/>
        </w:numPr>
      </w:pPr>
      <w:r>
        <w:t>Reporting side</w:t>
      </w:r>
    </w:p>
    <w:p w:rsidR="00CB0E5A" w:rsidRDefault="00B60F44" w:rsidP="00FF25C7">
      <w:pPr>
        <w:pStyle w:val="ListParagraph"/>
        <w:numPr>
          <w:ilvl w:val="0"/>
          <w:numId w:val="27"/>
        </w:numPr>
      </w:pPr>
      <w:r>
        <w:t>Regulation</w:t>
      </w:r>
      <w:r w:rsidR="000A60BB">
        <w:t xml:space="preserve"> in-scope</w:t>
      </w:r>
    </w:p>
    <w:p w:rsidR="000A60BB" w:rsidRDefault="00094313" w:rsidP="00FF25C7">
      <w:pPr>
        <w:pStyle w:val="ListParagraph"/>
        <w:numPr>
          <w:ilvl w:val="0"/>
          <w:numId w:val="27"/>
        </w:numPr>
      </w:pPr>
      <w:r>
        <w:t>Jurisdiction (a geographic region)</w:t>
      </w:r>
    </w:p>
    <w:p w:rsidR="00094313" w:rsidRDefault="00094313" w:rsidP="00FF25C7">
      <w:pPr>
        <w:pStyle w:val="ListParagraph"/>
        <w:numPr>
          <w:ilvl w:val="0"/>
          <w:numId w:val="27"/>
        </w:numPr>
      </w:pPr>
      <w:r>
        <w:t>Trade type as defined under SFTR</w:t>
      </w:r>
    </w:p>
    <w:p w:rsidR="005E45CA" w:rsidRDefault="005E45CA" w:rsidP="005E45CA">
      <w:r>
        <w:lastRenderedPageBreak/>
        <w:t>Example:</w:t>
      </w:r>
    </w:p>
    <w:p w:rsidR="00536EEE" w:rsidRDefault="00536EEE" w:rsidP="00536EEE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536EEE">
        <w:rPr>
          <w:rFonts w:ascii="Courier New" w:hAnsi="Courier New" w:cs="Courier New"/>
          <w:sz w:val="16"/>
          <w:szCs w:val="16"/>
        </w:rPr>
        <w:t>{"</w:t>
      </w:r>
      <w:proofErr w:type="spellStart"/>
      <w:r w:rsidRPr="00536EEE">
        <w:rPr>
          <w:rFonts w:ascii="Courier New" w:hAnsi="Courier New" w:cs="Courier New"/>
          <w:sz w:val="16"/>
          <w:szCs w:val="16"/>
        </w:rPr>
        <w:t>regulatoryReportingDetails</w:t>
      </w:r>
      <w:proofErr w:type="spellEnd"/>
      <w:r w:rsidRPr="00536EEE">
        <w:rPr>
          <w:rFonts w:ascii="Courier New" w:hAnsi="Courier New" w:cs="Courier New"/>
          <w:sz w:val="16"/>
          <w:szCs w:val="16"/>
        </w:rPr>
        <w:t xml:space="preserve">": </w:t>
      </w:r>
    </w:p>
    <w:p w:rsidR="00536EEE" w:rsidRPr="00536EEE" w:rsidRDefault="00536EEE" w:rsidP="00536EEE">
      <w:pPr>
        <w:spacing w:after="0"/>
        <w:ind w:left="720" w:firstLine="720"/>
        <w:rPr>
          <w:rFonts w:ascii="Courier New" w:hAnsi="Courier New" w:cs="Courier New"/>
          <w:sz w:val="16"/>
          <w:szCs w:val="16"/>
        </w:rPr>
      </w:pPr>
      <w:r w:rsidRPr="00536EEE">
        <w:rPr>
          <w:rFonts w:ascii="Courier New" w:hAnsi="Courier New" w:cs="Courier New"/>
          <w:sz w:val="16"/>
          <w:szCs w:val="16"/>
        </w:rPr>
        <w:t>{"</w:t>
      </w:r>
      <w:proofErr w:type="spellStart"/>
      <w:r w:rsidRPr="00536EEE">
        <w:rPr>
          <w:rFonts w:ascii="Courier New" w:hAnsi="Courier New" w:cs="Courier New"/>
          <w:sz w:val="16"/>
          <w:szCs w:val="16"/>
        </w:rPr>
        <w:t>counterpartyID</w:t>
      </w:r>
      <w:proofErr w:type="spellEnd"/>
      <w:r w:rsidRPr="00536EEE">
        <w:rPr>
          <w:rFonts w:ascii="Courier New" w:hAnsi="Courier New" w:cs="Courier New"/>
          <w:sz w:val="16"/>
          <w:szCs w:val="16"/>
        </w:rPr>
        <w:t>": "Sumitomo13", "</w:t>
      </w:r>
      <w:proofErr w:type="spellStart"/>
      <w:r w:rsidRPr="00536EEE">
        <w:rPr>
          <w:rFonts w:ascii="Courier New" w:hAnsi="Courier New" w:cs="Courier New"/>
          <w:sz w:val="16"/>
          <w:szCs w:val="16"/>
        </w:rPr>
        <w:t>reportingCounterpartyID</w:t>
      </w:r>
      <w:proofErr w:type="spellEnd"/>
      <w:r w:rsidRPr="00536EEE">
        <w:rPr>
          <w:rFonts w:ascii="Courier New" w:hAnsi="Courier New" w:cs="Courier New"/>
          <w:sz w:val="16"/>
          <w:szCs w:val="16"/>
        </w:rPr>
        <w:t>": "</w:t>
      </w:r>
      <w:r w:rsidR="00DB4E95">
        <w:rPr>
          <w:rFonts w:ascii="Courier New" w:hAnsi="Courier New" w:cs="Courier New"/>
          <w:sz w:val="16"/>
          <w:szCs w:val="16"/>
        </w:rPr>
        <w:t>FNB-</w:t>
      </w:r>
      <w:r w:rsidRPr="00536EEE">
        <w:rPr>
          <w:rFonts w:ascii="Courier New" w:hAnsi="Courier New" w:cs="Courier New"/>
          <w:sz w:val="16"/>
          <w:szCs w:val="16"/>
        </w:rPr>
        <w:t xml:space="preserve">EU"}, </w:t>
      </w:r>
    </w:p>
    <w:p w:rsidR="00536EEE" w:rsidRPr="00536EEE" w:rsidRDefault="00536EEE" w:rsidP="00536EEE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536EEE">
        <w:rPr>
          <w:rFonts w:ascii="Courier New" w:hAnsi="Courier New" w:cs="Courier New"/>
          <w:sz w:val="16"/>
          <w:szCs w:val="16"/>
        </w:rPr>
        <w:t>"</w:t>
      </w:r>
      <w:proofErr w:type="gramStart"/>
      <w:r w:rsidRPr="00536EEE">
        <w:rPr>
          <w:rFonts w:ascii="Courier New" w:hAnsi="Courier New" w:cs="Courier New"/>
          <w:sz w:val="16"/>
          <w:szCs w:val="16"/>
        </w:rPr>
        <w:t>date</w:t>
      </w:r>
      <w:proofErr w:type="gramEnd"/>
      <w:r w:rsidRPr="00536EEE">
        <w:rPr>
          <w:rFonts w:ascii="Courier New" w:hAnsi="Courier New" w:cs="Courier New"/>
          <w:sz w:val="16"/>
          <w:szCs w:val="16"/>
        </w:rPr>
        <w:t xml:space="preserve">": "20210607", </w:t>
      </w:r>
    </w:p>
    <w:p w:rsidR="00536EEE" w:rsidRPr="00536EEE" w:rsidRDefault="00536EEE" w:rsidP="00536EEE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536EEE">
        <w:rPr>
          <w:rFonts w:ascii="Courier New" w:hAnsi="Courier New" w:cs="Courier New"/>
          <w:sz w:val="16"/>
          <w:szCs w:val="16"/>
        </w:rPr>
        <w:t>"</w:t>
      </w:r>
      <w:proofErr w:type="spellStart"/>
      <w:proofErr w:type="gramStart"/>
      <w:r w:rsidRPr="00536EEE">
        <w:rPr>
          <w:rFonts w:ascii="Courier New" w:hAnsi="Courier New" w:cs="Courier New"/>
          <w:sz w:val="16"/>
          <w:szCs w:val="16"/>
        </w:rPr>
        <w:t>tradeID</w:t>
      </w:r>
      <w:proofErr w:type="spellEnd"/>
      <w:proofErr w:type="gramEnd"/>
      <w:r w:rsidRPr="00536EEE">
        <w:rPr>
          <w:rFonts w:ascii="Courier New" w:hAnsi="Courier New" w:cs="Courier New"/>
          <w:sz w:val="16"/>
          <w:szCs w:val="16"/>
        </w:rPr>
        <w:t xml:space="preserve">": "P98ICK2EYR-10172", </w:t>
      </w:r>
    </w:p>
    <w:p w:rsidR="00536EEE" w:rsidRPr="00536EEE" w:rsidRDefault="00536EEE" w:rsidP="00536EEE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536EEE">
        <w:rPr>
          <w:rFonts w:ascii="Courier New" w:hAnsi="Courier New" w:cs="Courier New"/>
          <w:sz w:val="16"/>
          <w:szCs w:val="16"/>
        </w:rPr>
        <w:t>"</w:t>
      </w:r>
      <w:proofErr w:type="spellStart"/>
      <w:proofErr w:type="gramStart"/>
      <w:r w:rsidRPr="00536EEE">
        <w:rPr>
          <w:rFonts w:ascii="Courier New" w:hAnsi="Courier New" w:cs="Courier New"/>
          <w:sz w:val="16"/>
          <w:szCs w:val="16"/>
        </w:rPr>
        <w:t>reportingSide</w:t>
      </w:r>
      <w:proofErr w:type="spellEnd"/>
      <w:proofErr w:type="gramEnd"/>
      <w:r w:rsidRPr="00536EEE">
        <w:rPr>
          <w:rFonts w:ascii="Courier New" w:hAnsi="Courier New" w:cs="Courier New"/>
          <w:sz w:val="16"/>
          <w:szCs w:val="16"/>
        </w:rPr>
        <w:t xml:space="preserve">": "FIRM", </w:t>
      </w:r>
    </w:p>
    <w:p w:rsidR="00536EEE" w:rsidRPr="00536EEE" w:rsidRDefault="00536EEE" w:rsidP="00536EEE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536EEE">
        <w:rPr>
          <w:rFonts w:ascii="Courier New" w:hAnsi="Courier New" w:cs="Courier New"/>
          <w:sz w:val="16"/>
          <w:szCs w:val="16"/>
        </w:rPr>
        <w:t>"</w:t>
      </w:r>
      <w:proofErr w:type="gramStart"/>
      <w:r w:rsidRPr="00536EEE">
        <w:rPr>
          <w:rFonts w:ascii="Courier New" w:hAnsi="Courier New" w:cs="Courier New"/>
          <w:sz w:val="16"/>
          <w:szCs w:val="16"/>
        </w:rPr>
        <w:t>regulation</w:t>
      </w:r>
      <w:proofErr w:type="gramEnd"/>
      <w:r w:rsidRPr="00536EEE">
        <w:rPr>
          <w:rFonts w:ascii="Courier New" w:hAnsi="Courier New" w:cs="Courier New"/>
          <w:sz w:val="16"/>
          <w:szCs w:val="16"/>
        </w:rPr>
        <w:t xml:space="preserve">": "SFT_REPORTING", </w:t>
      </w:r>
    </w:p>
    <w:p w:rsidR="00536EEE" w:rsidRPr="00536EEE" w:rsidRDefault="00536EEE" w:rsidP="00536EEE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536EEE">
        <w:rPr>
          <w:rFonts w:ascii="Courier New" w:hAnsi="Courier New" w:cs="Courier New"/>
          <w:sz w:val="16"/>
          <w:szCs w:val="16"/>
        </w:rPr>
        <w:t>"</w:t>
      </w:r>
      <w:proofErr w:type="gramStart"/>
      <w:r w:rsidRPr="00536EEE">
        <w:rPr>
          <w:rFonts w:ascii="Courier New" w:hAnsi="Courier New" w:cs="Courier New"/>
          <w:sz w:val="16"/>
          <w:szCs w:val="16"/>
        </w:rPr>
        <w:t>jurisdiction</w:t>
      </w:r>
      <w:proofErr w:type="gramEnd"/>
      <w:r w:rsidRPr="00536EEE">
        <w:rPr>
          <w:rFonts w:ascii="Courier New" w:hAnsi="Courier New" w:cs="Courier New"/>
          <w:sz w:val="16"/>
          <w:szCs w:val="16"/>
        </w:rPr>
        <w:t xml:space="preserve">": "UK", </w:t>
      </w:r>
    </w:p>
    <w:p w:rsidR="003A52A1" w:rsidRDefault="00536EEE" w:rsidP="003A52A1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536EEE">
        <w:rPr>
          <w:rFonts w:ascii="Courier New" w:hAnsi="Courier New" w:cs="Courier New"/>
          <w:sz w:val="16"/>
          <w:szCs w:val="16"/>
        </w:rPr>
        <w:t>"</w:t>
      </w:r>
      <w:proofErr w:type="spellStart"/>
      <w:r w:rsidRPr="00536EEE">
        <w:rPr>
          <w:rFonts w:ascii="Courier New" w:hAnsi="Courier New" w:cs="Courier New"/>
          <w:sz w:val="16"/>
          <w:szCs w:val="16"/>
        </w:rPr>
        <w:t>securitiesFinancingTransactionType</w:t>
      </w:r>
      <w:proofErr w:type="spellEnd"/>
      <w:r w:rsidRPr="00536EEE">
        <w:rPr>
          <w:rFonts w:ascii="Courier New" w:hAnsi="Courier New" w:cs="Courier New"/>
          <w:sz w:val="16"/>
          <w:szCs w:val="16"/>
        </w:rPr>
        <w:t>": "BUY_BACK"}</w:t>
      </w:r>
    </w:p>
    <w:p w:rsidR="003A52A1" w:rsidRPr="003A52A1" w:rsidRDefault="003A52A1" w:rsidP="003A52A1">
      <w:pPr>
        <w:spacing w:after="0"/>
        <w:ind w:left="720"/>
        <w:rPr>
          <w:rFonts w:ascii="Courier New" w:hAnsi="Courier New" w:cs="Courier New"/>
          <w:sz w:val="16"/>
          <w:szCs w:val="16"/>
        </w:rPr>
      </w:pPr>
    </w:p>
    <w:p w:rsidR="00C52596" w:rsidRDefault="00C52596" w:rsidP="00930EBC">
      <w:pPr>
        <w:pStyle w:val="Heading2"/>
      </w:pPr>
      <w:bookmarkStart w:id="9" w:name="_Toc75882706"/>
      <w:r>
        <w:t>GTT Data File</w:t>
      </w:r>
      <w:r w:rsidR="00406BA3">
        <w:t xml:space="preserve"> (</w:t>
      </w:r>
      <w:proofErr w:type="spellStart"/>
      <w:r w:rsidR="00930EBC">
        <w:t>gtt_api_data.json</w:t>
      </w:r>
      <w:proofErr w:type="spellEnd"/>
      <w:r w:rsidR="00406BA3">
        <w:t>)</w:t>
      </w:r>
      <w:bookmarkEnd w:id="9"/>
    </w:p>
    <w:p w:rsidR="00C52596" w:rsidRDefault="00C52596" w:rsidP="00C26714">
      <w:r>
        <w:t xml:space="preserve">Each line in the file represents the </w:t>
      </w:r>
      <w:r w:rsidR="00A23C15">
        <w:t xml:space="preserve">documentation </w:t>
      </w:r>
      <w:r>
        <w:t xml:space="preserve">Information stored for a </w:t>
      </w:r>
      <w:r w:rsidR="00F9461C">
        <w:t>c</w:t>
      </w:r>
      <w:r>
        <w:t>lient</w:t>
      </w:r>
      <w:r w:rsidR="00B54C76">
        <w:t xml:space="preserve"> against each </w:t>
      </w:r>
      <w:r w:rsidR="00DB4E95">
        <w:t>FNB</w:t>
      </w:r>
      <w:r w:rsidR="00B54C76">
        <w:t xml:space="preserve"> legal </w:t>
      </w:r>
      <w:r w:rsidR="0043691C">
        <w:t>entity.</w:t>
      </w:r>
      <w:r w:rsidR="00C26714">
        <w:t xml:space="preserve"> </w:t>
      </w:r>
      <w:r w:rsidR="00165735">
        <w:t>As an</w:t>
      </w:r>
      <w:r w:rsidR="00C26714">
        <w:t xml:space="preserve"> example:</w:t>
      </w:r>
    </w:p>
    <w:p w:rsidR="008D3245" w:rsidRDefault="008D3245" w:rsidP="008D3245">
      <w:pPr>
        <w:pStyle w:val="ListParagraph"/>
        <w:rPr>
          <w:rFonts w:ascii="Courier New" w:hAnsi="Courier New" w:cs="Courier New"/>
          <w:sz w:val="16"/>
          <w:szCs w:val="16"/>
        </w:rPr>
      </w:pPr>
      <w:r w:rsidRPr="00536EEE">
        <w:rPr>
          <w:rFonts w:ascii="Courier New" w:hAnsi="Courier New" w:cs="Courier New"/>
          <w:sz w:val="16"/>
          <w:szCs w:val="16"/>
        </w:rPr>
        <w:t>{"Cargill16": [</w:t>
      </w:r>
    </w:p>
    <w:p w:rsidR="008D3245" w:rsidRPr="00536EEE" w:rsidRDefault="008D3245" w:rsidP="008D3245">
      <w:pPr>
        <w:pStyle w:val="ListParagraph"/>
        <w:rPr>
          <w:rFonts w:ascii="Courier New" w:hAnsi="Courier New" w:cs="Courier New"/>
          <w:sz w:val="16"/>
          <w:szCs w:val="16"/>
        </w:rPr>
      </w:pPr>
      <w:r w:rsidRPr="00536EEE">
        <w:rPr>
          <w:rFonts w:ascii="Courier New" w:hAnsi="Courier New" w:cs="Courier New"/>
          <w:sz w:val="16"/>
          <w:szCs w:val="16"/>
        </w:rPr>
        <w:t>{"</w:t>
      </w:r>
      <w:proofErr w:type="spellStart"/>
      <w:r w:rsidRPr="00536EEE">
        <w:rPr>
          <w:rFonts w:ascii="Courier New" w:hAnsi="Courier New" w:cs="Courier New"/>
          <w:sz w:val="16"/>
          <w:szCs w:val="16"/>
        </w:rPr>
        <w:t>entityId</w:t>
      </w:r>
      <w:proofErr w:type="spellEnd"/>
      <w:r w:rsidRPr="00536EEE">
        <w:rPr>
          <w:rFonts w:ascii="Courier New" w:hAnsi="Courier New" w:cs="Courier New"/>
          <w:sz w:val="16"/>
          <w:szCs w:val="16"/>
        </w:rPr>
        <w:t>": "</w:t>
      </w:r>
      <w:r w:rsidR="00DB4E95">
        <w:rPr>
          <w:rFonts w:ascii="Courier New" w:hAnsi="Courier New" w:cs="Courier New"/>
          <w:sz w:val="16"/>
          <w:szCs w:val="16"/>
        </w:rPr>
        <w:t>FNB-</w:t>
      </w:r>
      <w:r w:rsidRPr="00536EEE">
        <w:rPr>
          <w:rFonts w:ascii="Courier New" w:hAnsi="Courier New" w:cs="Courier New"/>
          <w:sz w:val="16"/>
          <w:szCs w:val="16"/>
        </w:rPr>
        <w:t>UK", "</w:t>
      </w:r>
      <w:proofErr w:type="spellStart"/>
      <w:r w:rsidRPr="00536EEE">
        <w:rPr>
          <w:rFonts w:ascii="Courier New" w:hAnsi="Courier New" w:cs="Courier New"/>
          <w:sz w:val="16"/>
          <w:szCs w:val="16"/>
        </w:rPr>
        <w:t>documentId</w:t>
      </w:r>
      <w:proofErr w:type="spellEnd"/>
      <w:r w:rsidRPr="00536EEE">
        <w:rPr>
          <w:rFonts w:ascii="Courier New" w:hAnsi="Courier New" w:cs="Courier New"/>
          <w:sz w:val="16"/>
          <w:szCs w:val="16"/>
        </w:rPr>
        <w:t xml:space="preserve">": "LEI", "status": "GREEN"}, </w:t>
      </w:r>
    </w:p>
    <w:p w:rsidR="008D3245" w:rsidRPr="00536EEE" w:rsidRDefault="008D3245" w:rsidP="008D3245">
      <w:pPr>
        <w:pStyle w:val="ListParagraph"/>
        <w:rPr>
          <w:rFonts w:ascii="Courier New" w:hAnsi="Courier New" w:cs="Courier New"/>
          <w:sz w:val="16"/>
          <w:szCs w:val="16"/>
        </w:rPr>
      </w:pPr>
      <w:r w:rsidRPr="00536EEE">
        <w:rPr>
          <w:rFonts w:ascii="Courier New" w:hAnsi="Courier New" w:cs="Courier New"/>
          <w:sz w:val="16"/>
          <w:szCs w:val="16"/>
        </w:rPr>
        <w:t>{"</w:t>
      </w:r>
      <w:proofErr w:type="spellStart"/>
      <w:r w:rsidRPr="00536EEE">
        <w:rPr>
          <w:rFonts w:ascii="Courier New" w:hAnsi="Courier New" w:cs="Courier New"/>
          <w:sz w:val="16"/>
          <w:szCs w:val="16"/>
        </w:rPr>
        <w:t>entityId</w:t>
      </w:r>
      <w:proofErr w:type="spellEnd"/>
      <w:r w:rsidRPr="00536EEE">
        <w:rPr>
          <w:rFonts w:ascii="Courier New" w:hAnsi="Courier New" w:cs="Courier New"/>
          <w:sz w:val="16"/>
          <w:szCs w:val="16"/>
        </w:rPr>
        <w:t>": "</w:t>
      </w:r>
      <w:r w:rsidR="00DB4E95">
        <w:rPr>
          <w:rFonts w:ascii="Courier New" w:hAnsi="Courier New" w:cs="Courier New"/>
          <w:sz w:val="16"/>
          <w:szCs w:val="16"/>
        </w:rPr>
        <w:t>FNB-</w:t>
      </w:r>
      <w:r w:rsidRPr="00536EEE">
        <w:rPr>
          <w:rFonts w:ascii="Courier New" w:hAnsi="Courier New" w:cs="Courier New"/>
          <w:sz w:val="16"/>
          <w:szCs w:val="16"/>
        </w:rPr>
        <w:t>UK", "</w:t>
      </w:r>
      <w:proofErr w:type="spellStart"/>
      <w:r w:rsidRPr="00536EEE">
        <w:rPr>
          <w:rFonts w:ascii="Courier New" w:hAnsi="Courier New" w:cs="Courier New"/>
          <w:sz w:val="16"/>
          <w:szCs w:val="16"/>
        </w:rPr>
        <w:t>documentId</w:t>
      </w:r>
      <w:proofErr w:type="spellEnd"/>
      <w:r w:rsidRPr="00536EEE">
        <w:rPr>
          <w:rFonts w:ascii="Courier New" w:hAnsi="Courier New" w:cs="Courier New"/>
          <w:sz w:val="16"/>
          <w:szCs w:val="16"/>
        </w:rPr>
        <w:t xml:space="preserve">": "REPORTING_CONSENT", "status": "GREEN"}, </w:t>
      </w:r>
    </w:p>
    <w:p w:rsidR="008D3245" w:rsidRDefault="008D3245" w:rsidP="008D3245">
      <w:pPr>
        <w:pStyle w:val="ListParagraph"/>
        <w:rPr>
          <w:rFonts w:ascii="Courier New" w:hAnsi="Courier New" w:cs="Courier New"/>
          <w:sz w:val="16"/>
          <w:szCs w:val="16"/>
        </w:rPr>
      </w:pPr>
      <w:r w:rsidRPr="00536EEE">
        <w:rPr>
          <w:rFonts w:ascii="Courier New" w:hAnsi="Courier New" w:cs="Courier New"/>
          <w:sz w:val="16"/>
          <w:szCs w:val="16"/>
        </w:rPr>
        <w:t>{"</w:t>
      </w:r>
      <w:proofErr w:type="spellStart"/>
      <w:r w:rsidRPr="00536EEE">
        <w:rPr>
          <w:rFonts w:ascii="Courier New" w:hAnsi="Courier New" w:cs="Courier New"/>
          <w:sz w:val="16"/>
          <w:szCs w:val="16"/>
        </w:rPr>
        <w:t>entityId</w:t>
      </w:r>
      <w:proofErr w:type="spellEnd"/>
      <w:r w:rsidRPr="00536EEE">
        <w:rPr>
          <w:rFonts w:ascii="Courier New" w:hAnsi="Courier New" w:cs="Courier New"/>
          <w:sz w:val="16"/>
          <w:szCs w:val="16"/>
        </w:rPr>
        <w:t>": "</w:t>
      </w:r>
      <w:r w:rsidR="00DB4E95">
        <w:rPr>
          <w:rFonts w:ascii="Courier New" w:hAnsi="Courier New" w:cs="Courier New"/>
          <w:sz w:val="16"/>
          <w:szCs w:val="16"/>
        </w:rPr>
        <w:t>FNB-</w:t>
      </w:r>
      <w:r w:rsidRPr="00536EEE">
        <w:rPr>
          <w:rFonts w:ascii="Courier New" w:hAnsi="Courier New" w:cs="Courier New"/>
          <w:sz w:val="16"/>
          <w:szCs w:val="16"/>
        </w:rPr>
        <w:t>UK", "</w:t>
      </w:r>
      <w:proofErr w:type="spellStart"/>
      <w:r w:rsidRPr="00536EEE">
        <w:rPr>
          <w:rFonts w:ascii="Courier New" w:hAnsi="Courier New" w:cs="Courier New"/>
          <w:sz w:val="16"/>
          <w:szCs w:val="16"/>
        </w:rPr>
        <w:t>documentId</w:t>
      </w:r>
      <w:proofErr w:type="spellEnd"/>
      <w:r w:rsidRPr="00536EEE">
        <w:rPr>
          <w:rFonts w:ascii="Courier New" w:hAnsi="Courier New" w:cs="Courier New"/>
          <w:sz w:val="16"/>
          <w:szCs w:val="16"/>
        </w:rPr>
        <w:t xml:space="preserve">": "AML_KYC", "status": "GREEN"}, </w:t>
      </w:r>
    </w:p>
    <w:p w:rsidR="008D3245" w:rsidRPr="00536EEE" w:rsidRDefault="008D3245" w:rsidP="008D3245">
      <w:pPr>
        <w:pStyle w:val="ListParagraph"/>
        <w:rPr>
          <w:rFonts w:ascii="Courier New" w:hAnsi="Courier New" w:cs="Courier New"/>
          <w:sz w:val="16"/>
          <w:szCs w:val="16"/>
        </w:rPr>
      </w:pPr>
    </w:p>
    <w:p w:rsidR="008D3245" w:rsidRPr="00536EEE" w:rsidRDefault="008D3245" w:rsidP="008D3245">
      <w:pPr>
        <w:pStyle w:val="ListParagraph"/>
        <w:rPr>
          <w:rFonts w:ascii="Courier New" w:hAnsi="Courier New" w:cs="Courier New"/>
          <w:sz w:val="16"/>
          <w:szCs w:val="16"/>
        </w:rPr>
      </w:pPr>
      <w:r w:rsidRPr="00536EEE">
        <w:rPr>
          <w:rFonts w:ascii="Courier New" w:hAnsi="Courier New" w:cs="Courier New"/>
          <w:sz w:val="16"/>
          <w:szCs w:val="16"/>
        </w:rPr>
        <w:t>{"</w:t>
      </w:r>
      <w:proofErr w:type="spellStart"/>
      <w:r w:rsidRPr="00536EEE">
        <w:rPr>
          <w:rFonts w:ascii="Courier New" w:hAnsi="Courier New" w:cs="Courier New"/>
          <w:sz w:val="16"/>
          <w:szCs w:val="16"/>
        </w:rPr>
        <w:t>entityId</w:t>
      </w:r>
      <w:proofErr w:type="spellEnd"/>
      <w:r w:rsidRPr="00536EEE">
        <w:rPr>
          <w:rFonts w:ascii="Courier New" w:hAnsi="Courier New" w:cs="Courier New"/>
          <w:sz w:val="16"/>
          <w:szCs w:val="16"/>
        </w:rPr>
        <w:t>": "</w:t>
      </w:r>
      <w:r w:rsidR="00DB4E95">
        <w:rPr>
          <w:rFonts w:ascii="Courier New" w:hAnsi="Courier New" w:cs="Courier New"/>
          <w:sz w:val="16"/>
          <w:szCs w:val="16"/>
        </w:rPr>
        <w:t>FNB-</w:t>
      </w:r>
      <w:r w:rsidRPr="00536EEE">
        <w:rPr>
          <w:rFonts w:ascii="Courier New" w:hAnsi="Courier New" w:cs="Courier New"/>
          <w:sz w:val="16"/>
          <w:szCs w:val="16"/>
        </w:rPr>
        <w:t>EU", "</w:t>
      </w:r>
      <w:proofErr w:type="spellStart"/>
      <w:r w:rsidRPr="00536EEE">
        <w:rPr>
          <w:rFonts w:ascii="Courier New" w:hAnsi="Courier New" w:cs="Courier New"/>
          <w:sz w:val="16"/>
          <w:szCs w:val="16"/>
        </w:rPr>
        <w:t>documentId</w:t>
      </w:r>
      <w:proofErr w:type="spellEnd"/>
      <w:r w:rsidRPr="00536EEE">
        <w:rPr>
          <w:rFonts w:ascii="Courier New" w:hAnsi="Courier New" w:cs="Courier New"/>
          <w:sz w:val="16"/>
          <w:szCs w:val="16"/>
        </w:rPr>
        <w:t xml:space="preserve">": "LEI", "status": "GREEN"}, </w:t>
      </w:r>
    </w:p>
    <w:p w:rsidR="008D3245" w:rsidRPr="00536EEE" w:rsidRDefault="008D3245" w:rsidP="008D3245">
      <w:pPr>
        <w:pStyle w:val="ListParagraph"/>
        <w:rPr>
          <w:rFonts w:ascii="Courier New" w:hAnsi="Courier New" w:cs="Courier New"/>
          <w:sz w:val="16"/>
          <w:szCs w:val="16"/>
        </w:rPr>
      </w:pPr>
      <w:r w:rsidRPr="00536EEE">
        <w:rPr>
          <w:rFonts w:ascii="Courier New" w:hAnsi="Courier New" w:cs="Courier New"/>
          <w:sz w:val="16"/>
          <w:szCs w:val="16"/>
        </w:rPr>
        <w:t>{"</w:t>
      </w:r>
      <w:proofErr w:type="spellStart"/>
      <w:r w:rsidRPr="00536EEE">
        <w:rPr>
          <w:rFonts w:ascii="Courier New" w:hAnsi="Courier New" w:cs="Courier New"/>
          <w:sz w:val="16"/>
          <w:szCs w:val="16"/>
        </w:rPr>
        <w:t>entityId</w:t>
      </w:r>
      <w:proofErr w:type="spellEnd"/>
      <w:r w:rsidRPr="00536EEE">
        <w:rPr>
          <w:rFonts w:ascii="Courier New" w:hAnsi="Courier New" w:cs="Courier New"/>
          <w:sz w:val="16"/>
          <w:szCs w:val="16"/>
        </w:rPr>
        <w:t>": "</w:t>
      </w:r>
      <w:r w:rsidR="00DB4E95">
        <w:rPr>
          <w:rFonts w:ascii="Courier New" w:hAnsi="Courier New" w:cs="Courier New"/>
          <w:sz w:val="16"/>
          <w:szCs w:val="16"/>
        </w:rPr>
        <w:t>FNB-</w:t>
      </w:r>
      <w:r w:rsidRPr="00536EEE">
        <w:rPr>
          <w:rFonts w:ascii="Courier New" w:hAnsi="Courier New" w:cs="Courier New"/>
          <w:sz w:val="16"/>
          <w:szCs w:val="16"/>
        </w:rPr>
        <w:t>EU", "</w:t>
      </w:r>
      <w:proofErr w:type="spellStart"/>
      <w:r w:rsidRPr="00536EEE">
        <w:rPr>
          <w:rFonts w:ascii="Courier New" w:hAnsi="Courier New" w:cs="Courier New"/>
          <w:sz w:val="16"/>
          <w:szCs w:val="16"/>
        </w:rPr>
        <w:t>documentId</w:t>
      </w:r>
      <w:proofErr w:type="spellEnd"/>
      <w:r w:rsidRPr="00536EEE">
        <w:rPr>
          <w:rFonts w:ascii="Courier New" w:hAnsi="Courier New" w:cs="Courier New"/>
          <w:sz w:val="16"/>
          <w:szCs w:val="16"/>
        </w:rPr>
        <w:t xml:space="preserve">": "REPORTING_CONSENT", "status": "GREEN"}, </w:t>
      </w:r>
    </w:p>
    <w:p w:rsidR="008D3245" w:rsidRPr="00536EEE" w:rsidRDefault="008D3245" w:rsidP="008D3245">
      <w:pPr>
        <w:pStyle w:val="ListParagraph"/>
        <w:rPr>
          <w:rFonts w:ascii="Courier New" w:hAnsi="Courier New" w:cs="Courier New"/>
          <w:sz w:val="16"/>
          <w:szCs w:val="16"/>
        </w:rPr>
      </w:pPr>
      <w:r w:rsidRPr="00536EEE">
        <w:rPr>
          <w:rFonts w:ascii="Courier New" w:hAnsi="Courier New" w:cs="Courier New"/>
          <w:sz w:val="16"/>
          <w:szCs w:val="16"/>
        </w:rPr>
        <w:t>{"</w:t>
      </w:r>
      <w:proofErr w:type="spellStart"/>
      <w:r w:rsidRPr="00536EEE">
        <w:rPr>
          <w:rFonts w:ascii="Courier New" w:hAnsi="Courier New" w:cs="Courier New"/>
          <w:sz w:val="16"/>
          <w:szCs w:val="16"/>
        </w:rPr>
        <w:t>entityId</w:t>
      </w:r>
      <w:proofErr w:type="spellEnd"/>
      <w:r w:rsidRPr="00536EEE">
        <w:rPr>
          <w:rFonts w:ascii="Courier New" w:hAnsi="Courier New" w:cs="Courier New"/>
          <w:sz w:val="16"/>
          <w:szCs w:val="16"/>
        </w:rPr>
        <w:t>": "</w:t>
      </w:r>
      <w:r w:rsidR="00DB4E95">
        <w:rPr>
          <w:rFonts w:ascii="Courier New" w:hAnsi="Courier New" w:cs="Courier New"/>
          <w:sz w:val="16"/>
          <w:szCs w:val="16"/>
        </w:rPr>
        <w:t>FNB-</w:t>
      </w:r>
      <w:r w:rsidRPr="00536EEE">
        <w:rPr>
          <w:rFonts w:ascii="Courier New" w:hAnsi="Courier New" w:cs="Courier New"/>
          <w:sz w:val="16"/>
          <w:szCs w:val="16"/>
        </w:rPr>
        <w:t>EU", "</w:t>
      </w:r>
      <w:proofErr w:type="spellStart"/>
      <w:r w:rsidRPr="00536EEE">
        <w:rPr>
          <w:rFonts w:ascii="Courier New" w:hAnsi="Courier New" w:cs="Courier New"/>
          <w:sz w:val="16"/>
          <w:szCs w:val="16"/>
        </w:rPr>
        <w:t>documentId</w:t>
      </w:r>
      <w:proofErr w:type="spellEnd"/>
      <w:r w:rsidRPr="00536EEE">
        <w:rPr>
          <w:rFonts w:ascii="Courier New" w:hAnsi="Courier New" w:cs="Courier New"/>
          <w:sz w:val="16"/>
          <w:szCs w:val="16"/>
        </w:rPr>
        <w:t>": "AML_KYC", "status": "RED"}]}</w:t>
      </w:r>
    </w:p>
    <w:p w:rsidR="008D3245" w:rsidRDefault="008D3245" w:rsidP="00C26714">
      <w:r>
        <w:t xml:space="preserve">The information </w:t>
      </w:r>
      <w:r w:rsidR="00203135">
        <w:t xml:space="preserve">in the example </w:t>
      </w:r>
      <w:r>
        <w:t>is:</w:t>
      </w:r>
    </w:p>
    <w:p w:rsidR="00E53BF3" w:rsidRDefault="00E53BF3" w:rsidP="00FF25C7">
      <w:pPr>
        <w:pStyle w:val="ListParagraph"/>
        <w:numPr>
          <w:ilvl w:val="0"/>
          <w:numId w:val="30"/>
        </w:numPr>
      </w:pPr>
      <w:r>
        <w:t>The client ID is “</w:t>
      </w:r>
      <w:r w:rsidR="00C52596">
        <w:t>C</w:t>
      </w:r>
      <w:r>
        <w:t>argill</w:t>
      </w:r>
      <w:r w:rsidR="00C52596">
        <w:t>16</w:t>
      </w:r>
      <w:r>
        <w:t>”</w:t>
      </w:r>
    </w:p>
    <w:p w:rsidR="00C52596" w:rsidRDefault="00E53BF3" w:rsidP="00FF25C7">
      <w:pPr>
        <w:pStyle w:val="ListParagraph"/>
        <w:numPr>
          <w:ilvl w:val="0"/>
          <w:numId w:val="30"/>
        </w:numPr>
      </w:pPr>
      <w:r>
        <w:t>This client</w:t>
      </w:r>
      <w:r w:rsidR="00C52596">
        <w:t xml:space="preserve"> is </w:t>
      </w:r>
      <w:r>
        <w:t xml:space="preserve">set up with </w:t>
      </w:r>
      <w:r w:rsidR="00DB4E95">
        <w:t>FNB-</w:t>
      </w:r>
      <w:r w:rsidR="00C52596">
        <w:t>UK</w:t>
      </w:r>
      <w:r>
        <w:t xml:space="preserve"> and </w:t>
      </w:r>
      <w:r w:rsidR="00DB4E95">
        <w:t>FNB-</w:t>
      </w:r>
      <w:r>
        <w:t>EU</w:t>
      </w:r>
    </w:p>
    <w:p w:rsidR="00C52596" w:rsidRDefault="00E53BF3" w:rsidP="00FF25C7">
      <w:pPr>
        <w:pStyle w:val="ListParagraph"/>
        <w:numPr>
          <w:ilvl w:val="0"/>
          <w:numId w:val="30"/>
        </w:numPr>
      </w:pPr>
      <w:r>
        <w:t xml:space="preserve">All 3 documents of Cargill16 against </w:t>
      </w:r>
      <w:r w:rsidR="00DB4E95">
        <w:t>FNB-</w:t>
      </w:r>
      <w:r>
        <w:t>UK are green.</w:t>
      </w:r>
    </w:p>
    <w:p w:rsidR="00FF25C7" w:rsidRPr="00E53BF3" w:rsidRDefault="00E53BF3" w:rsidP="00E53BF3">
      <w:pPr>
        <w:pStyle w:val="ListParagraph"/>
        <w:numPr>
          <w:ilvl w:val="0"/>
          <w:numId w:val="30"/>
        </w:num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t xml:space="preserve">LEI and REPORTING_CONSENT document of Cargill16 against </w:t>
      </w:r>
      <w:r w:rsidR="00DB4E95">
        <w:t>FNB-</w:t>
      </w:r>
      <w:r>
        <w:t>EU are green while its AML_KYC against the same legal entity is RED.</w:t>
      </w:r>
    </w:p>
    <w:p w:rsidR="00A023D5" w:rsidRDefault="00A023D5" w:rsidP="00F75593">
      <w:pPr>
        <w:pStyle w:val="Heading1"/>
      </w:pPr>
      <w:bookmarkStart w:id="10" w:name="_Toc75882707"/>
      <w:r>
        <w:t>Example</w:t>
      </w:r>
      <w:r w:rsidR="00B728D9">
        <w:t xml:space="preserve"> UI</w:t>
      </w:r>
      <w:r w:rsidR="008B73BD">
        <w:t>s</w:t>
      </w:r>
      <w:bookmarkEnd w:id="10"/>
    </w:p>
    <w:p w:rsidR="00A023D5" w:rsidRDefault="00A023D5" w:rsidP="00A023D5">
      <w:r>
        <w:t>A very simple exampl</w:t>
      </w:r>
      <w:r w:rsidR="00621372">
        <w:t>e solution is presented below to give you a basic starting point. Please use your own ideas and format to make it unique, intuiti</w:t>
      </w:r>
      <w:r w:rsidR="008B73BD">
        <w:t xml:space="preserve">ve, user friendly and robust.  </w:t>
      </w:r>
    </w:p>
    <w:p w:rsidR="00890682" w:rsidRDefault="008B73BD" w:rsidP="008B73BD">
      <w:r>
        <w:t>The following screenshots are just of an example. You should carefully consider UX when designing your UI.</w:t>
      </w:r>
    </w:p>
    <w:p w:rsidR="00890682" w:rsidRDefault="00890682" w:rsidP="00890682">
      <w:r>
        <w:br w:type="page"/>
      </w:r>
    </w:p>
    <w:p w:rsidR="000750B1" w:rsidRDefault="004B4E20" w:rsidP="007E6E81">
      <w:pPr>
        <w:pStyle w:val="Heading2"/>
      </w:pPr>
      <w:bookmarkStart w:id="11" w:name="_Toc75882708"/>
      <w:r>
        <w:lastRenderedPageBreak/>
        <w:t xml:space="preserve">Example of a </w:t>
      </w:r>
      <w:r w:rsidR="007E6E81">
        <w:t>Query Interface</w:t>
      </w:r>
      <w:bookmarkEnd w:id="11"/>
    </w:p>
    <w:p w:rsidR="007C3962" w:rsidRDefault="008B73BD" w:rsidP="00063181">
      <w:r w:rsidRPr="008B73BD">
        <w:t xml:space="preserve">The user </w:t>
      </w:r>
      <w:r>
        <w:t>enters criteria details in one (and only one) of the fields and submit this form to start the query.</w:t>
      </w:r>
    </w:p>
    <w:p w:rsidR="007C3962" w:rsidRDefault="007C3962" w:rsidP="00063181">
      <w:r>
        <w:rPr>
          <w:noProof/>
        </w:rPr>
        <w:drawing>
          <wp:inline distT="0" distB="0" distL="0" distR="0" wp14:anchorId="5D8E2B74" wp14:editId="2E245347">
            <wp:extent cx="5943600" cy="1650365"/>
            <wp:effectExtent l="19050" t="19050" r="19050" b="260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03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60EF7" w:rsidRDefault="008B73BD" w:rsidP="008B73BD">
      <w:pPr>
        <w:pStyle w:val="Heading2"/>
      </w:pPr>
      <w:bookmarkStart w:id="12" w:name="_Toc75882709"/>
      <w:r>
        <w:t>Example of a Query-by-Date Results</w:t>
      </w:r>
      <w:bookmarkEnd w:id="12"/>
    </w:p>
    <w:p w:rsidR="007C3962" w:rsidRPr="008B73BD" w:rsidRDefault="008B73BD" w:rsidP="008B73BD">
      <w:r>
        <w:t>Displays the clients, the docs that are not GREEN and the trades which fail GTT.</w:t>
      </w:r>
    </w:p>
    <w:tbl>
      <w:tblPr>
        <w:tblStyle w:val="TableGrid"/>
        <w:tblW w:w="0" w:type="auto"/>
        <w:tbl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9350"/>
      </w:tblGrid>
      <w:tr w:rsidR="008B73BD" w:rsidTr="008B73BD">
        <w:tc>
          <w:tcPr>
            <w:tcW w:w="9350" w:type="dxa"/>
          </w:tcPr>
          <w:p w:rsidR="008B73BD" w:rsidRDefault="007C3962" w:rsidP="008B73BD">
            <w:r>
              <w:rPr>
                <w:noProof/>
              </w:rPr>
              <w:drawing>
                <wp:inline distT="0" distB="0" distL="0" distR="0" wp14:anchorId="52FEB2CF" wp14:editId="101E7F73">
                  <wp:extent cx="5943600" cy="1448435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448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B73BD" w:rsidRDefault="007C3962" w:rsidP="008B73BD">
            <w:r>
              <w:rPr>
                <w:noProof/>
              </w:rPr>
              <w:drawing>
                <wp:inline distT="0" distB="0" distL="0" distR="0" wp14:anchorId="5FA1B3B8" wp14:editId="597890AE">
                  <wp:extent cx="5943600" cy="1243965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2439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B73BD" w:rsidRDefault="008B73BD" w:rsidP="007C3962"/>
        </w:tc>
      </w:tr>
    </w:tbl>
    <w:p w:rsidR="00960EF7" w:rsidRPr="00B90C49" w:rsidRDefault="00960EF7" w:rsidP="008B73BD">
      <w:pPr>
        <w:pStyle w:val="Heading2"/>
        <w:rPr>
          <w:b/>
        </w:rPr>
      </w:pPr>
      <w:bookmarkStart w:id="13" w:name="_Toc75882710"/>
      <w:r w:rsidRPr="000750B1">
        <w:t>Example</w:t>
      </w:r>
      <w:r w:rsidR="008B73BD">
        <w:t xml:space="preserve"> of a</w:t>
      </w:r>
      <w:r w:rsidRPr="000750B1">
        <w:t xml:space="preserve"> Query</w:t>
      </w:r>
      <w:r w:rsidR="008B73BD">
        <w:t>-by-Trade-ID Result</w:t>
      </w:r>
      <w:bookmarkEnd w:id="13"/>
    </w:p>
    <w:p w:rsidR="00063181" w:rsidRDefault="008B73BD" w:rsidP="008B73BD">
      <w:r>
        <w:t>If the trade fails GTT, displays</w:t>
      </w:r>
      <w:r w:rsidR="00F51139">
        <w:t xml:space="preserve"> the </w:t>
      </w:r>
      <w:r>
        <w:t xml:space="preserve">client and reporting counterparty of the trade and </w:t>
      </w:r>
      <w:r w:rsidR="00F51139">
        <w:t>documents missing</w:t>
      </w:r>
      <w:r>
        <w:t>.</w:t>
      </w:r>
      <w:r w:rsidR="00F51139">
        <w:t xml:space="preserve"> </w:t>
      </w:r>
    </w:p>
    <w:p w:rsidR="00A023D5" w:rsidRPr="00F51139" w:rsidRDefault="007C3962" w:rsidP="00063181">
      <w:pPr>
        <w:pStyle w:val="ListParagraph"/>
        <w:ind w:left="0"/>
      </w:pPr>
      <w:r>
        <w:rPr>
          <w:noProof/>
        </w:rPr>
        <w:drawing>
          <wp:inline distT="0" distB="0" distL="0" distR="0" wp14:anchorId="2A36EFEA" wp14:editId="5ABCC489">
            <wp:extent cx="5943600" cy="1337310"/>
            <wp:effectExtent l="19050" t="19050" r="19050" b="152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73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60EF7" w:rsidRDefault="00960EF7" w:rsidP="008B73BD">
      <w:pPr>
        <w:pStyle w:val="Heading2"/>
      </w:pPr>
      <w:bookmarkStart w:id="14" w:name="_Toc75882711"/>
      <w:r>
        <w:lastRenderedPageBreak/>
        <w:t xml:space="preserve">Example </w:t>
      </w:r>
      <w:r w:rsidR="008B73BD">
        <w:t xml:space="preserve">of a </w:t>
      </w:r>
      <w:r>
        <w:t>Query</w:t>
      </w:r>
      <w:r w:rsidR="008B73BD">
        <w:t>-by-Client-ID Result</w:t>
      </w:r>
      <w:bookmarkEnd w:id="14"/>
    </w:p>
    <w:p w:rsidR="00A023D5" w:rsidRDefault="008B73BD" w:rsidP="008B73BD">
      <w:r>
        <w:t>Displays the reporting counterparties under which the client has trades failing GTT. Shows the documents which are not GREEN and the trade IDs.</w:t>
      </w:r>
    </w:p>
    <w:p w:rsidR="00960EF7" w:rsidRPr="00063181" w:rsidRDefault="007C3962" w:rsidP="00063181">
      <w:pPr>
        <w:jc w:val="center"/>
      </w:pPr>
      <w:r>
        <w:rPr>
          <w:noProof/>
        </w:rPr>
        <w:drawing>
          <wp:inline distT="0" distB="0" distL="0" distR="0" wp14:anchorId="446694BF" wp14:editId="11FBFE9F">
            <wp:extent cx="5943600" cy="1597025"/>
            <wp:effectExtent l="19050" t="19050" r="19050" b="222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70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960EF7" w:rsidRPr="00063181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0CFF" w:rsidRDefault="00A60CFF" w:rsidP="00C96CE3">
      <w:pPr>
        <w:spacing w:after="0" w:line="240" w:lineRule="auto"/>
      </w:pPr>
      <w:r>
        <w:separator/>
      </w:r>
    </w:p>
  </w:endnote>
  <w:endnote w:type="continuationSeparator" w:id="0">
    <w:p w:rsidR="00A60CFF" w:rsidRDefault="00A60CFF" w:rsidP="00C96C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833684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96CE3" w:rsidRDefault="00C96CE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F3402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C96CE3" w:rsidRDefault="00C96CE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0CFF" w:rsidRDefault="00A60CFF" w:rsidP="00C96CE3">
      <w:pPr>
        <w:spacing w:after="0" w:line="240" w:lineRule="auto"/>
      </w:pPr>
      <w:r>
        <w:separator/>
      </w:r>
    </w:p>
  </w:footnote>
  <w:footnote w:type="continuationSeparator" w:id="0">
    <w:p w:rsidR="00A60CFF" w:rsidRDefault="00A60CFF" w:rsidP="00C96C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596B15"/>
    <w:multiLevelType w:val="hybridMultilevel"/>
    <w:tmpl w:val="C332F838"/>
    <w:lvl w:ilvl="0" w:tplc="2E5CF146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FF2CFF"/>
    <w:multiLevelType w:val="hybridMultilevel"/>
    <w:tmpl w:val="BA7CA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D268E3"/>
    <w:multiLevelType w:val="hybridMultilevel"/>
    <w:tmpl w:val="54B2B6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B24473"/>
    <w:multiLevelType w:val="hybridMultilevel"/>
    <w:tmpl w:val="607CE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3B2CE8"/>
    <w:multiLevelType w:val="hybridMultilevel"/>
    <w:tmpl w:val="0186D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AD6CF8"/>
    <w:multiLevelType w:val="hybridMultilevel"/>
    <w:tmpl w:val="6E24E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48344C"/>
    <w:multiLevelType w:val="hybridMultilevel"/>
    <w:tmpl w:val="EF1CBD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E5CF146">
      <w:start w:val="1"/>
      <w:numFmt w:val="bullet"/>
      <w:lvlText w:val="-"/>
      <w:lvlJc w:val="left"/>
      <w:pPr>
        <w:ind w:left="1440" w:hanging="360"/>
      </w:pPr>
      <w:rPr>
        <w:rFonts w:ascii="Calibri" w:eastAsia="Times New Roman" w:hAnsi="Calibri" w:cs="Times New Roman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B603C5"/>
    <w:multiLevelType w:val="hybridMultilevel"/>
    <w:tmpl w:val="BD1A1678"/>
    <w:lvl w:ilvl="0" w:tplc="2E5CF146">
      <w:start w:val="1"/>
      <w:numFmt w:val="bullet"/>
      <w:lvlText w:val="-"/>
      <w:lvlJc w:val="left"/>
      <w:pPr>
        <w:ind w:left="766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8" w15:restartNumberingAfterBreak="0">
    <w:nsid w:val="311655A6"/>
    <w:multiLevelType w:val="hybridMultilevel"/>
    <w:tmpl w:val="F72CF9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3A33AB"/>
    <w:multiLevelType w:val="hybridMultilevel"/>
    <w:tmpl w:val="EE468820"/>
    <w:lvl w:ilvl="0" w:tplc="2E5CF146">
      <w:start w:val="1"/>
      <w:numFmt w:val="bullet"/>
      <w:lvlText w:val="-"/>
      <w:lvlJc w:val="left"/>
      <w:pPr>
        <w:ind w:left="766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0" w15:restartNumberingAfterBreak="0">
    <w:nsid w:val="3A6023EE"/>
    <w:multiLevelType w:val="hybridMultilevel"/>
    <w:tmpl w:val="46A23B1E"/>
    <w:lvl w:ilvl="0" w:tplc="2E5CF146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6C5A19"/>
    <w:multiLevelType w:val="hybridMultilevel"/>
    <w:tmpl w:val="839ED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AC1FEE"/>
    <w:multiLevelType w:val="hybridMultilevel"/>
    <w:tmpl w:val="4AFE5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CC7D18"/>
    <w:multiLevelType w:val="hybridMultilevel"/>
    <w:tmpl w:val="BF047E7E"/>
    <w:lvl w:ilvl="0" w:tplc="2E5CF146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1872B5"/>
    <w:multiLevelType w:val="hybridMultilevel"/>
    <w:tmpl w:val="D61CA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454916"/>
    <w:multiLevelType w:val="hybridMultilevel"/>
    <w:tmpl w:val="351CEFAC"/>
    <w:lvl w:ilvl="0" w:tplc="2E5CF146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42324C"/>
    <w:multiLevelType w:val="multilevel"/>
    <w:tmpl w:val="7C9E5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3EA3ACE"/>
    <w:multiLevelType w:val="hybridMultilevel"/>
    <w:tmpl w:val="5BA8B7AE"/>
    <w:lvl w:ilvl="0" w:tplc="2E5CF146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3575A1"/>
    <w:multiLevelType w:val="hybridMultilevel"/>
    <w:tmpl w:val="011AB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E54119"/>
    <w:multiLevelType w:val="hybridMultilevel"/>
    <w:tmpl w:val="30D489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D23E53"/>
    <w:multiLevelType w:val="hybridMultilevel"/>
    <w:tmpl w:val="585E83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0465A8"/>
    <w:multiLevelType w:val="hybridMultilevel"/>
    <w:tmpl w:val="5DB433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9B573F0"/>
    <w:multiLevelType w:val="hybridMultilevel"/>
    <w:tmpl w:val="0F34C2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386502"/>
    <w:multiLevelType w:val="hybridMultilevel"/>
    <w:tmpl w:val="B75A7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8E54A2"/>
    <w:multiLevelType w:val="hybridMultilevel"/>
    <w:tmpl w:val="1F926C24"/>
    <w:lvl w:ilvl="0" w:tplc="2E5CF146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B8032A"/>
    <w:multiLevelType w:val="hybridMultilevel"/>
    <w:tmpl w:val="07DCD852"/>
    <w:lvl w:ilvl="0" w:tplc="2E5CF146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182FA6"/>
    <w:multiLevelType w:val="hybridMultilevel"/>
    <w:tmpl w:val="40009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5465EA"/>
    <w:multiLevelType w:val="hybridMultilevel"/>
    <w:tmpl w:val="33B0577A"/>
    <w:lvl w:ilvl="0" w:tplc="2E5CF146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5C1288"/>
    <w:multiLevelType w:val="hybridMultilevel"/>
    <w:tmpl w:val="5C406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3254091"/>
    <w:multiLevelType w:val="hybridMultilevel"/>
    <w:tmpl w:val="59045E28"/>
    <w:lvl w:ilvl="0" w:tplc="2E5CF146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5AA05E5"/>
    <w:multiLevelType w:val="hybridMultilevel"/>
    <w:tmpl w:val="9B6E495E"/>
    <w:lvl w:ilvl="0" w:tplc="2E5CF146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A465A96"/>
    <w:multiLevelType w:val="hybridMultilevel"/>
    <w:tmpl w:val="F0C08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FB96395"/>
    <w:multiLevelType w:val="hybridMultilevel"/>
    <w:tmpl w:val="1B6A1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1797C3F"/>
    <w:multiLevelType w:val="hybridMultilevel"/>
    <w:tmpl w:val="90E049BE"/>
    <w:lvl w:ilvl="0" w:tplc="2E5CF146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7066871"/>
    <w:multiLevelType w:val="hybridMultilevel"/>
    <w:tmpl w:val="08E0BBA6"/>
    <w:lvl w:ilvl="0" w:tplc="2E5CF146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72D525F"/>
    <w:multiLevelType w:val="hybridMultilevel"/>
    <w:tmpl w:val="B0C270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4"/>
  </w:num>
  <w:num w:numId="3">
    <w:abstractNumId w:val="6"/>
  </w:num>
  <w:num w:numId="4">
    <w:abstractNumId w:val="8"/>
  </w:num>
  <w:num w:numId="5">
    <w:abstractNumId w:val="2"/>
  </w:num>
  <w:num w:numId="6">
    <w:abstractNumId w:val="9"/>
  </w:num>
  <w:num w:numId="7">
    <w:abstractNumId w:val="33"/>
  </w:num>
  <w:num w:numId="8">
    <w:abstractNumId w:val="34"/>
  </w:num>
  <w:num w:numId="9">
    <w:abstractNumId w:val="15"/>
  </w:num>
  <w:num w:numId="10">
    <w:abstractNumId w:val="16"/>
  </w:num>
  <w:num w:numId="11">
    <w:abstractNumId w:val="13"/>
  </w:num>
  <w:num w:numId="12">
    <w:abstractNumId w:val="17"/>
  </w:num>
  <w:num w:numId="13">
    <w:abstractNumId w:val="5"/>
  </w:num>
  <w:num w:numId="14">
    <w:abstractNumId w:val="20"/>
  </w:num>
  <w:num w:numId="15">
    <w:abstractNumId w:val="29"/>
  </w:num>
  <w:num w:numId="16">
    <w:abstractNumId w:val="25"/>
  </w:num>
  <w:num w:numId="17">
    <w:abstractNumId w:val="0"/>
  </w:num>
  <w:num w:numId="18">
    <w:abstractNumId w:val="7"/>
  </w:num>
  <w:num w:numId="19">
    <w:abstractNumId w:val="27"/>
  </w:num>
  <w:num w:numId="20">
    <w:abstractNumId w:val="30"/>
  </w:num>
  <w:num w:numId="21">
    <w:abstractNumId w:val="10"/>
  </w:num>
  <w:num w:numId="22">
    <w:abstractNumId w:val="24"/>
  </w:num>
  <w:num w:numId="23">
    <w:abstractNumId w:val="26"/>
  </w:num>
  <w:num w:numId="24">
    <w:abstractNumId w:val="35"/>
  </w:num>
  <w:num w:numId="25">
    <w:abstractNumId w:val="22"/>
  </w:num>
  <w:num w:numId="26">
    <w:abstractNumId w:val="21"/>
  </w:num>
  <w:num w:numId="27">
    <w:abstractNumId w:val="18"/>
  </w:num>
  <w:num w:numId="28">
    <w:abstractNumId w:val="12"/>
  </w:num>
  <w:num w:numId="29">
    <w:abstractNumId w:val="11"/>
  </w:num>
  <w:num w:numId="30">
    <w:abstractNumId w:val="14"/>
  </w:num>
  <w:num w:numId="31">
    <w:abstractNumId w:val="23"/>
  </w:num>
  <w:num w:numId="32">
    <w:abstractNumId w:val="3"/>
  </w:num>
  <w:num w:numId="33">
    <w:abstractNumId w:val="31"/>
  </w:num>
  <w:num w:numId="34">
    <w:abstractNumId w:val="1"/>
  </w:num>
  <w:num w:numId="35">
    <w:abstractNumId w:val="32"/>
  </w:num>
  <w:num w:numId="36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096"/>
    <w:rsid w:val="00001699"/>
    <w:rsid w:val="00003B8B"/>
    <w:rsid w:val="00004550"/>
    <w:rsid w:val="00037E56"/>
    <w:rsid w:val="00041167"/>
    <w:rsid w:val="000415C0"/>
    <w:rsid w:val="000417BD"/>
    <w:rsid w:val="0004609B"/>
    <w:rsid w:val="00054C76"/>
    <w:rsid w:val="00062776"/>
    <w:rsid w:val="000630B4"/>
    <w:rsid w:val="00063181"/>
    <w:rsid w:val="00067791"/>
    <w:rsid w:val="000750B1"/>
    <w:rsid w:val="000876B4"/>
    <w:rsid w:val="00094313"/>
    <w:rsid w:val="00097D84"/>
    <w:rsid w:val="000A0AF4"/>
    <w:rsid w:val="000A60BB"/>
    <w:rsid w:val="000B6BD2"/>
    <w:rsid w:val="000B7AC1"/>
    <w:rsid w:val="000C0F1D"/>
    <w:rsid w:val="000C12E9"/>
    <w:rsid w:val="000C38E1"/>
    <w:rsid w:val="000E3A20"/>
    <w:rsid w:val="001137BA"/>
    <w:rsid w:val="00116ECC"/>
    <w:rsid w:val="00126105"/>
    <w:rsid w:val="00127984"/>
    <w:rsid w:val="00132672"/>
    <w:rsid w:val="00134743"/>
    <w:rsid w:val="00151817"/>
    <w:rsid w:val="001543A9"/>
    <w:rsid w:val="001546AE"/>
    <w:rsid w:val="00165735"/>
    <w:rsid w:val="001869B9"/>
    <w:rsid w:val="0018792F"/>
    <w:rsid w:val="00195C75"/>
    <w:rsid w:val="001B6A50"/>
    <w:rsid w:val="001C05B9"/>
    <w:rsid w:val="001D0E31"/>
    <w:rsid w:val="001D7246"/>
    <w:rsid w:val="001F1803"/>
    <w:rsid w:val="001F760A"/>
    <w:rsid w:val="00203135"/>
    <w:rsid w:val="002104B2"/>
    <w:rsid w:val="00216DFB"/>
    <w:rsid w:val="00255D5E"/>
    <w:rsid w:val="00262EC6"/>
    <w:rsid w:val="00264903"/>
    <w:rsid w:val="00276EAB"/>
    <w:rsid w:val="00280F1C"/>
    <w:rsid w:val="0028162F"/>
    <w:rsid w:val="002825D2"/>
    <w:rsid w:val="002837FE"/>
    <w:rsid w:val="00284548"/>
    <w:rsid w:val="00296F80"/>
    <w:rsid w:val="002A04A3"/>
    <w:rsid w:val="002A2AAB"/>
    <w:rsid w:val="002E4311"/>
    <w:rsid w:val="00314075"/>
    <w:rsid w:val="00315DF1"/>
    <w:rsid w:val="0032235B"/>
    <w:rsid w:val="003411BE"/>
    <w:rsid w:val="00341E87"/>
    <w:rsid w:val="00347E02"/>
    <w:rsid w:val="003565C5"/>
    <w:rsid w:val="003664AC"/>
    <w:rsid w:val="0037320E"/>
    <w:rsid w:val="003903EB"/>
    <w:rsid w:val="003A52A1"/>
    <w:rsid w:val="003B15F4"/>
    <w:rsid w:val="003B2143"/>
    <w:rsid w:val="003C6DE4"/>
    <w:rsid w:val="003D01B1"/>
    <w:rsid w:val="003E276B"/>
    <w:rsid w:val="004007A5"/>
    <w:rsid w:val="00406AA0"/>
    <w:rsid w:val="00406BA3"/>
    <w:rsid w:val="00425581"/>
    <w:rsid w:val="0043360B"/>
    <w:rsid w:val="0043691C"/>
    <w:rsid w:val="00440421"/>
    <w:rsid w:val="004554E3"/>
    <w:rsid w:val="00463B0E"/>
    <w:rsid w:val="00470671"/>
    <w:rsid w:val="00476052"/>
    <w:rsid w:val="00477892"/>
    <w:rsid w:val="00487941"/>
    <w:rsid w:val="004941E0"/>
    <w:rsid w:val="004B4E20"/>
    <w:rsid w:val="004B6686"/>
    <w:rsid w:val="004C0DBB"/>
    <w:rsid w:val="005036DF"/>
    <w:rsid w:val="0050504D"/>
    <w:rsid w:val="00512B1E"/>
    <w:rsid w:val="00513E38"/>
    <w:rsid w:val="00536EEE"/>
    <w:rsid w:val="00542EF8"/>
    <w:rsid w:val="0054317C"/>
    <w:rsid w:val="00552190"/>
    <w:rsid w:val="00570A50"/>
    <w:rsid w:val="00570DF3"/>
    <w:rsid w:val="00570EA4"/>
    <w:rsid w:val="0058013E"/>
    <w:rsid w:val="005842E9"/>
    <w:rsid w:val="005870F9"/>
    <w:rsid w:val="00590213"/>
    <w:rsid w:val="00590320"/>
    <w:rsid w:val="00593BD8"/>
    <w:rsid w:val="005B468B"/>
    <w:rsid w:val="005C5245"/>
    <w:rsid w:val="005C5BBF"/>
    <w:rsid w:val="005D34B9"/>
    <w:rsid w:val="005E3326"/>
    <w:rsid w:val="005E45CA"/>
    <w:rsid w:val="0060471D"/>
    <w:rsid w:val="00605B33"/>
    <w:rsid w:val="00621372"/>
    <w:rsid w:val="006435A6"/>
    <w:rsid w:val="00645513"/>
    <w:rsid w:val="00694290"/>
    <w:rsid w:val="00696727"/>
    <w:rsid w:val="006B7BC2"/>
    <w:rsid w:val="006C7D65"/>
    <w:rsid w:val="006E6B69"/>
    <w:rsid w:val="006F27B4"/>
    <w:rsid w:val="006F2D3A"/>
    <w:rsid w:val="006F4871"/>
    <w:rsid w:val="006F514C"/>
    <w:rsid w:val="006F611E"/>
    <w:rsid w:val="00701E15"/>
    <w:rsid w:val="00715C5C"/>
    <w:rsid w:val="0073063F"/>
    <w:rsid w:val="00735BA8"/>
    <w:rsid w:val="007361F3"/>
    <w:rsid w:val="007375F1"/>
    <w:rsid w:val="00742826"/>
    <w:rsid w:val="00744676"/>
    <w:rsid w:val="007510CC"/>
    <w:rsid w:val="0077742C"/>
    <w:rsid w:val="00784972"/>
    <w:rsid w:val="00787470"/>
    <w:rsid w:val="00790114"/>
    <w:rsid w:val="007B10A7"/>
    <w:rsid w:val="007B48D8"/>
    <w:rsid w:val="007B60CE"/>
    <w:rsid w:val="007C0080"/>
    <w:rsid w:val="007C2529"/>
    <w:rsid w:val="007C3962"/>
    <w:rsid w:val="007D05D7"/>
    <w:rsid w:val="007E32E6"/>
    <w:rsid w:val="007E6E81"/>
    <w:rsid w:val="007F17F0"/>
    <w:rsid w:val="007F3402"/>
    <w:rsid w:val="00810980"/>
    <w:rsid w:val="0081396E"/>
    <w:rsid w:val="00821D26"/>
    <w:rsid w:val="0083503F"/>
    <w:rsid w:val="008520ED"/>
    <w:rsid w:val="008525F5"/>
    <w:rsid w:val="00854148"/>
    <w:rsid w:val="008727EE"/>
    <w:rsid w:val="00890682"/>
    <w:rsid w:val="008976B5"/>
    <w:rsid w:val="008B3883"/>
    <w:rsid w:val="008B73BD"/>
    <w:rsid w:val="008B78C4"/>
    <w:rsid w:val="008C1200"/>
    <w:rsid w:val="008C5349"/>
    <w:rsid w:val="008C5D9B"/>
    <w:rsid w:val="008C6F88"/>
    <w:rsid w:val="008D3245"/>
    <w:rsid w:val="008D5E48"/>
    <w:rsid w:val="009141C9"/>
    <w:rsid w:val="00915FB0"/>
    <w:rsid w:val="00921710"/>
    <w:rsid w:val="00925A4C"/>
    <w:rsid w:val="00930EBC"/>
    <w:rsid w:val="009329D2"/>
    <w:rsid w:val="00941336"/>
    <w:rsid w:val="009463BA"/>
    <w:rsid w:val="0094655A"/>
    <w:rsid w:val="00946595"/>
    <w:rsid w:val="0094732F"/>
    <w:rsid w:val="00952539"/>
    <w:rsid w:val="00960EF7"/>
    <w:rsid w:val="00975A21"/>
    <w:rsid w:val="00976E7F"/>
    <w:rsid w:val="009773AB"/>
    <w:rsid w:val="00977C9F"/>
    <w:rsid w:val="009C4AE1"/>
    <w:rsid w:val="009D0656"/>
    <w:rsid w:val="009D7FB3"/>
    <w:rsid w:val="009E0DF2"/>
    <w:rsid w:val="00A023D5"/>
    <w:rsid w:val="00A11157"/>
    <w:rsid w:val="00A116E6"/>
    <w:rsid w:val="00A13A21"/>
    <w:rsid w:val="00A21FC3"/>
    <w:rsid w:val="00A22E21"/>
    <w:rsid w:val="00A23A29"/>
    <w:rsid w:val="00A23C15"/>
    <w:rsid w:val="00A31850"/>
    <w:rsid w:val="00A42CAF"/>
    <w:rsid w:val="00A60CFF"/>
    <w:rsid w:val="00A61755"/>
    <w:rsid w:val="00A73B37"/>
    <w:rsid w:val="00A75484"/>
    <w:rsid w:val="00A91E6F"/>
    <w:rsid w:val="00A9758D"/>
    <w:rsid w:val="00AB0DC7"/>
    <w:rsid w:val="00AC3E71"/>
    <w:rsid w:val="00AD1049"/>
    <w:rsid w:val="00AE068B"/>
    <w:rsid w:val="00AE53DD"/>
    <w:rsid w:val="00AF0E1C"/>
    <w:rsid w:val="00AF23AA"/>
    <w:rsid w:val="00B0327B"/>
    <w:rsid w:val="00B07D7A"/>
    <w:rsid w:val="00B108C3"/>
    <w:rsid w:val="00B17F2F"/>
    <w:rsid w:val="00B17F35"/>
    <w:rsid w:val="00B2316D"/>
    <w:rsid w:val="00B41242"/>
    <w:rsid w:val="00B502CF"/>
    <w:rsid w:val="00B521F8"/>
    <w:rsid w:val="00B54C76"/>
    <w:rsid w:val="00B60F44"/>
    <w:rsid w:val="00B64E03"/>
    <w:rsid w:val="00B728D9"/>
    <w:rsid w:val="00B75B65"/>
    <w:rsid w:val="00B75CCC"/>
    <w:rsid w:val="00B81A60"/>
    <w:rsid w:val="00B8764C"/>
    <w:rsid w:val="00B90C49"/>
    <w:rsid w:val="00B9294E"/>
    <w:rsid w:val="00B97490"/>
    <w:rsid w:val="00BA0464"/>
    <w:rsid w:val="00BB2060"/>
    <w:rsid w:val="00BB32C7"/>
    <w:rsid w:val="00BB32DC"/>
    <w:rsid w:val="00BB45F2"/>
    <w:rsid w:val="00BB5C8E"/>
    <w:rsid w:val="00BC6832"/>
    <w:rsid w:val="00BC706B"/>
    <w:rsid w:val="00BD11A9"/>
    <w:rsid w:val="00BD4D47"/>
    <w:rsid w:val="00BD584B"/>
    <w:rsid w:val="00BE32CE"/>
    <w:rsid w:val="00BE68F4"/>
    <w:rsid w:val="00BF3896"/>
    <w:rsid w:val="00BF53D9"/>
    <w:rsid w:val="00BF72C7"/>
    <w:rsid w:val="00BF75E2"/>
    <w:rsid w:val="00C005AD"/>
    <w:rsid w:val="00C05B27"/>
    <w:rsid w:val="00C234D4"/>
    <w:rsid w:val="00C25F7F"/>
    <w:rsid w:val="00C26714"/>
    <w:rsid w:val="00C44F8E"/>
    <w:rsid w:val="00C52596"/>
    <w:rsid w:val="00C73395"/>
    <w:rsid w:val="00C834EA"/>
    <w:rsid w:val="00C87A73"/>
    <w:rsid w:val="00C95235"/>
    <w:rsid w:val="00C96CE3"/>
    <w:rsid w:val="00CB0E5A"/>
    <w:rsid w:val="00CC17C7"/>
    <w:rsid w:val="00CD7489"/>
    <w:rsid w:val="00CE14F1"/>
    <w:rsid w:val="00CE2BA8"/>
    <w:rsid w:val="00D10196"/>
    <w:rsid w:val="00D31774"/>
    <w:rsid w:val="00D32A77"/>
    <w:rsid w:val="00D4724F"/>
    <w:rsid w:val="00D57867"/>
    <w:rsid w:val="00D63B82"/>
    <w:rsid w:val="00D73D61"/>
    <w:rsid w:val="00DA235A"/>
    <w:rsid w:val="00DB4E95"/>
    <w:rsid w:val="00DD4AA2"/>
    <w:rsid w:val="00DE3546"/>
    <w:rsid w:val="00DE4C71"/>
    <w:rsid w:val="00DF293D"/>
    <w:rsid w:val="00E02E2E"/>
    <w:rsid w:val="00E14F3D"/>
    <w:rsid w:val="00E14F57"/>
    <w:rsid w:val="00E15787"/>
    <w:rsid w:val="00E2610A"/>
    <w:rsid w:val="00E341C6"/>
    <w:rsid w:val="00E406D5"/>
    <w:rsid w:val="00E42F7B"/>
    <w:rsid w:val="00E45096"/>
    <w:rsid w:val="00E45882"/>
    <w:rsid w:val="00E50BEC"/>
    <w:rsid w:val="00E53BF3"/>
    <w:rsid w:val="00E72A2B"/>
    <w:rsid w:val="00E757C6"/>
    <w:rsid w:val="00E93A4A"/>
    <w:rsid w:val="00EA050A"/>
    <w:rsid w:val="00EA18E1"/>
    <w:rsid w:val="00EA5B0D"/>
    <w:rsid w:val="00EA66DD"/>
    <w:rsid w:val="00EC0052"/>
    <w:rsid w:val="00EC01AF"/>
    <w:rsid w:val="00ED1280"/>
    <w:rsid w:val="00EF5446"/>
    <w:rsid w:val="00EF5740"/>
    <w:rsid w:val="00F0348A"/>
    <w:rsid w:val="00F118D1"/>
    <w:rsid w:val="00F27761"/>
    <w:rsid w:val="00F31B7F"/>
    <w:rsid w:val="00F32BB8"/>
    <w:rsid w:val="00F33D6B"/>
    <w:rsid w:val="00F407D5"/>
    <w:rsid w:val="00F51139"/>
    <w:rsid w:val="00F65B29"/>
    <w:rsid w:val="00F65DBE"/>
    <w:rsid w:val="00F676A3"/>
    <w:rsid w:val="00F75593"/>
    <w:rsid w:val="00F9461C"/>
    <w:rsid w:val="00FC474E"/>
    <w:rsid w:val="00FD10F8"/>
    <w:rsid w:val="00FD2930"/>
    <w:rsid w:val="00FD5516"/>
    <w:rsid w:val="00FD68B5"/>
    <w:rsid w:val="00FE5710"/>
    <w:rsid w:val="00FF2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BBC92D-4D47-454C-839E-A2246A06E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115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smallCaps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27B4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23A2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23A2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73D6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qFormat/>
    <w:rsid w:val="0013267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rsid w:val="00132672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9329D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11157"/>
    <w:rPr>
      <w:rFonts w:asciiTheme="majorHAnsi" w:eastAsiaTheme="majorEastAsia" w:hAnsiTheme="majorHAnsi" w:cstheme="majorBidi"/>
      <w:smallCaps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F27B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23A2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23A2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D73D61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701E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1E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DD4A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BB45F2"/>
    <w:pPr>
      <w:outlineLvl w:val="9"/>
    </w:pPr>
    <w:rPr>
      <w:smallCaps w:val="0"/>
    </w:rPr>
  </w:style>
  <w:style w:type="paragraph" w:styleId="TOC1">
    <w:name w:val="toc 1"/>
    <w:basedOn w:val="Normal"/>
    <w:next w:val="Normal"/>
    <w:autoRedefine/>
    <w:uiPriority w:val="39"/>
    <w:unhideWhenUsed/>
    <w:rsid w:val="00BB45F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B45F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B45F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96C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6CE3"/>
  </w:style>
  <w:style w:type="paragraph" w:styleId="Footer">
    <w:name w:val="footer"/>
    <w:basedOn w:val="Normal"/>
    <w:link w:val="FooterChar"/>
    <w:uiPriority w:val="99"/>
    <w:unhideWhenUsed/>
    <w:rsid w:val="00C96C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6C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9EE01F-354F-4081-ABC3-505D04DC0E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7</Pages>
  <Words>1609</Words>
  <Characters>9176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Bank of America</Company>
  <LinksUpToDate>false</LinksUpToDate>
  <CharactersWithSpaces>10764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Daniells, Christina</dc:creator>
  <cp:keywords/>
  <dc:description/>
  <cp:lastModifiedBy>Daniells, Christina</cp:lastModifiedBy>
  <cp:revision>6</cp:revision>
  <cp:lastPrinted>2021-06-11T02:48:00Z</cp:lastPrinted>
  <dcterms:created xsi:type="dcterms:W3CDTF">2021-06-30T01:18:00Z</dcterms:created>
  <dcterms:modified xsi:type="dcterms:W3CDTF">2021-06-30T03:09:00Z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7747f0a8-0a07-4f24-a0e8-6e9a223c948d</vt:lpwstr>
  </property>
  <property fmtid="{D5CDD505-2E9C-101B-9397-08002B2CF9AE}" pid="3" name="Classification">
    <vt:lpwstr>Unclassified</vt:lpwstr>
  </property>
</Properties>
</file>