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9,538명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158.4명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1.4억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예산 집행률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92.4%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89.7%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수입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35,600,000원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0.3억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14,719원/명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유료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58.6%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86.2%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단체 관객 비율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8%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6.7%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회수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65회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55회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806명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29건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SNS 피드백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186점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정기 기획전 평균 126,781점 대비 하회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정기 기획전 평균 대비 높은 관객 규모가 확인됨.</w:t>
      </w:r>
    </w:p>
    <w:p>
      <w:pPr>
        <w:pStyle w:val="Bullet"/>
      </w:pPr>
      <w:r>
        <w:t xml:space="preserve">• 유료 관객 비율은 58.6%로 정기 기획전 평균과 차이를 보이며, 관객 확대와 수입 구조를 분리해 검토할 필요가 있음.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Bullet"/>
      </w:pPr>
      <w:r>
        <w:t xml:space="preserve">• 총 사용 예산은 높은 편이나, 관객당 비용은 13,816원/명으로 정기 기획전 기준값과 비교해 검토할 수 있음.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정기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정기 기획전 평균: 806명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정기 기획전 평균을 상회함</w:t>
      </w:r>
    </w:p>
    <w:p>
      <w:pPr>
        <w:pStyle w:val="BodyText"/>
      </w:pPr>
      <w:r>
        <w:t xml:space="preserve">총 관객 수 15,200명, 일평균 230명으로 정기 기획전 평균 대비 높은 관객 규모가 확인됨.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정기 기획전 평균: 9,538명</w:t>
      </w:r>
    </w:p>
    <w:p>
      <w:pPr>
        <w:pStyle w:val="Evidence"/>
      </w:pPr>
      <w:r>
        <w:t xml:space="preserve">• 평균 대비 차이: +59.4%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158.4명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정기 기획전 기준값과 비교해 검토할 수 있음.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정기 기획전 기준값: 14,719원/명</w:t>
      </w:r>
    </w:p>
    <w:p>
      <w:pPr>
        <w:pStyle w:val="Heading2"/>
      </w:pPr>
      <w:r>
        <w:t xml:space="preserve">유료 관객 비율은 정기 기획전 평균보다 낮게 나타남</w:t>
      </w:r>
    </w:p>
    <w:p>
      <w:pPr>
        <w:pStyle w:val="BodyText"/>
      </w:pPr>
      <w:r>
        <w:t xml:space="preserve">유료 관객 비율은 58.6%로 정기 기획전 평균과 차이를 보이며, 관객 확대와 수입 구조를 분리해 검토할 필요가 있음.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정기 기획전 평균: 86.2%</w:t>
      </w:r>
    </w:p>
    <w:p>
      <w:pPr>
        <w:pStyle w:val="Evidence"/>
      </w:pPr>
      <w:r>
        <w:t xml:space="preserve">• 차이: -27.6%p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정기 기획전 보도 평균: 29건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