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Kicker"/>
      </w:pPr>
      <w:r>
        <w:t xml:space="preserve">일민미술관 전시보고서</w:t>
      </w:r>
    </w:p>
    <w:p>
      <w:pPr>
        <w:pStyle w:val="Title"/>
      </w:pPr>
      <w:r>
        <w:t xml:space="preserve">전시보고서 v4.3 - 《(가)하이퍼 옐로우》</w:t>
      </w:r>
    </w:p>
    <w:p>
      <w:pPr>
        <w:pStyle w:val="Subtitle"/>
      </w:pPr>
      <w:r>
        <w:t xml:space="preserve">2025.06.13 - 2025.08.17</w:t>
      </w:r>
    </w:p>
    <w:p>
      <w:pPr>
        <w:pStyle w:val="BodyText"/>
      </w:pPr>
      <w:r>
        <w:t xml:space="preserve"/>
      </w:r>
    </w:p>
    <w:p>
      <w:pPr>
        <w:pStyle w:val="Heading1"/>
      </w:pPr>
      <w:r>
        <w:t xml:space="preserve">목차</w:t>
      </w:r>
    </w:p>
    <w:p>
      <w:pPr>
        <w:pStyle w:val="TocLine"/>
      </w:pPr>
      <w:r>
        <w:t xml:space="preserve">I. 전시 개요</w:t>
      </w:r>
    </w:p>
    <w:p>
      <w:pPr>
        <w:pStyle w:val="TocLine"/>
      </w:pPr>
      <w:r>
        <w:t xml:space="preserve">II. 핵심 수치 종합</w:t>
      </w:r>
    </w:p>
    <w:p>
      <w:pPr>
        <w:pStyle w:val="TocLine"/>
      </w:pPr>
      <w:r>
        <w:t xml:space="preserve">III. 주요 관찰</w:t>
      </w:r>
    </w:p>
    <w:p>
      <w:pPr>
        <w:pStyle w:val="TocLine"/>
      </w:pPr>
      <w:r>
        <w:t xml:space="preserve">IV. 세부 관찰</w:t>
      </w:r>
    </w:p>
    <w:p>
      <w:pPr>
        <w:pStyle w:val="TocLine"/>
      </w:pPr>
      <w:r>
        <w:t xml:space="preserve">V. 관객 반응 기록</w:t>
      </w:r>
    </w:p>
    <w:p>
      <w:pPr>
        <w:pStyle w:val="TocLine"/>
      </w:pPr>
      <w:r>
        <w:t xml:space="preserve">VI. 데이터 검증 및 후속 참고</w:t>
      </w:r>
    </w:p>
    <w:p>
      <w:r>
        <w:br w:type="page"/>
      </w:r>
    </w:p>
    <w:p>
      <w:pPr>
        <w:pStyle w:val="Heading1"/>
      </w:pPr>
      <w:r>
        <w:t xml:space="preserve">I. 전시 개요</w:t>
      </w:r>
    </w:p>
    <w:tbl>
      <w:tblPr>
        <w:tblW w:w="0" w:type="auto"/>
        <w:tblBorders>
          <w:top w:val="single" w:sz="6" w:color="B8B8B8"/>
          <w:left w:val="single" w:sz="6" w:color="B8B8B8"/>
          <w:bottom w:val="single" w:sz="6" w:color="B8B8B8"/>
          <w:right w:val="single" w:sz="6" w:color="B8B8B8"/>
          <w:insideH w:val="single" w:sz="6" w:color="B8B8B8"/>
          <w:insideV w:val="single" w:sz="6" w:color="B8B8B8"/>
        </w:tblBorders>
      </w:tblPr>
      <w:tr>
        <w:tc>
          <w:tcPr>
            <w:tcW w:w="3000" w:type="dxa"/>
          </w:tcPr>
          <w:p>
            <w:pPr>
              <w:pStyle w:val="TableText"/>
            </w:pPr>
            <w:r>
              <w:t xml:space="preserve">전시 제목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전시보고서 v4.3 - 《(가)하이퍼 옐로우》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전시 기간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2025.06.13 - 2025.08.17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장소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일민미술관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총 사용 예산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210,000,000원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관객 수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15,200명(일평균 230명)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프로그램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프로그램 참여 인원 548명</w:t>
            </w:r>
          </w:p>
        </w:tc>
      </w:tr>
    </w:tbl>
    <w:p>
      <w:pPr>
        <w:pStyle w:val="BodyText"/>
      </w:pPr>
      <w:r>
        <w:t xml:space="preserve">이 전시는 색채 경험과 공간 몰입을 중심으로 관객의 전시 체류와 반응을 관찰하기 위한 v4.3 샘플입니다. 실제 보고서에서는 전시 기획 의도와 전시 주제에 관한 서술을 이 항목에 입력합니다.</w:t>
      </w:r>
    </w:p>
    <w:p>
      <w:pPr>
        <w:pStyle w:val="Heading1"/>
      </w:pPr>
      <w:r>
        <w:t xml:space="preserve">II. 핵심 수치 종합</w:t>
      </w:r>
    </w:p>
    <w:tbl>
      <w:tblPr>
        <w:tblW w:w="0" w:type="auto"/>
        <w:tblBorders>
          <w:top w:val="single" w:sz="6" w:color="B8B8B8"/>
          <w:left w:val="single" w:sz="6" w:color="B8B8B8"/>
          <w:bottom w:val="single" w:sz="6" w:color="B8B8B8"/>
          <w:right w:val="single" w:sz="6" w:color="B8B8B8"/>
          <w:insideH w:val="single" w:sz="6" w:color="B8B8B8"/>
          <w:insideV w:val="single" w:sz="6" w:color="B8B8B8"/>
        </w:tblBorders>
      </w:tblPr>
      <w:tr>
        <w:tc>
          <w:tcPr>
            <w:shd w:fill="F2F2F2"/>
            <w:tcW w:w="3000" w:type="dxa"/>
          </w:tcPr>
          <w:p>
            <w:pPr>
              <w:pStyle w:val="TableText"/>
            </w:pPr>
            <w:r>
              <w:t xml:space="preserve">항목</w:t>
            </w:r>
          </w:p>
        </w:tc>
        <w:tc>
          <w:tcPr>
            <w:shd w:fill="F2F2F2"/>
            <w:tcW w:w="3000" w:type="dxa"/>
          </w:tcPr>
          <w:p>
            <w:pPr>
              <w:pStyle w:val="TableText"/>
            </w:pPr>
            <w:r>
              <w:t xml:space="preserve">값</w:t>
            </w:r>
          </w:p>
        </w:tc>
        <w:tc>
          <w:tcPr>
            <w:shd w:fill="F2F2F2"/>
            <w:tcW w:w="3000" w:type="dxa"/>
          </w:tcPr>
          <w:p>
            <w:pPr>
              <w:pStyle w:val="TableText"/>
            </w:pPr>
            <w:r>
              <w:t xml:space="preserve">참고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총 관객 수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15,200명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정기 기획전 평균 9,538명 대비 상회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일평균 관객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230명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정기 기획전 평균 158.4명 대비 상회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총 사용 예산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210,000,000원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정기 기획전 평균 140,000,000원 대비 상회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총 수입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35,600,000원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정기 기획전 평균 29,375,000원 대비 상회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관객당 비용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13,816원/명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총 사용 예산 / 총 관객 수; 정기 기획전 평균 14,719원/명 대비 하회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프로그램 참여 인원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548명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정기 기획전 평균 806명 대비 하회</w:t>
            </w:r>
          </w:p>
        </w:tc>
      </w:tr>
    </w:tbl>
    <w:p>
      <w:pPr>
        <w:pStyle w:val="Heading1"/>
      </w:pPr>
      <w:r>
        <w:t xml:space="preserve">III. 주요 관찰</w:t>
      </w:r>
    </w:p>
    <w:p>
      <w:pPr>
        <w:pStyle w:val="BodyText"/>
      </w:pPr>
      <w:r>
        <w:t xml:space="preserve">아래 내용은 자동 판정이 아니라 Analysis Ledger에서 도출한 관찰 후보입니다.</w:t>
      </w:r>
    </w:p>
    <w:p>
      <w:pPr>
        <w:pStyle w:val="Bullet"/>
      </w:pPr>
      <w:r>
        <w:t xml:space="preserve">• 총 관객 수 15,200명, 일평균 230명으로 정기 기획전 평균 대비 높은 관객 규모가 확인됨.</w:t>
      </w:r>
    </w:p>
    <w:p>
      <w:pPr>
        <w:pStyle w:val="Caveat"/>
      </w:pPr>
      <w:r>
        <w:t xml:space="preserve">한계: 기존 전시 원자료의 유형 분류와 입력된 수치를 바탕으로 자동 산출한 비교군입니다. 성과 판정이 아니라 수치상 특이점으로 기록합니다.</w:t>
      </w:r>
    </w:p>
    <w:p>
      <w:pPr>
        <w:pStyle w:val="Bullet"/>
      </w:pPr>
      <w:r>
        <w:t xml:space="preserve">• 유료 관객 비율은 58.6%로 정기 기획전 평균과 차이를 보이며, 관객 확대와 수입 구조를 분리해 검토할 필요가 있음.</w:t>
      </w:r>
    </w:p>
    <w:p>
      <w:pPr>
        <w:pStyle w:val="Caveat"/>
      </w:pPr>
      <w:r>
        <w:t xml:space="preserve">한계: 초대, 제휴, 패스, 단체 관람 정책의 영향을 함께 확인해야 하며 수입 성과와 단순히 동일시할 수 없습니다.</w:t>
      </w:r>
    </w:p>
    <w:p>
      <w:pPr>
        <w:pStyle w:val="Bullet"/>
      </w:pPr>
      <w:r>
        <w:t xml:space="preserve">• 프로그램 8개 65회차가 운영되었고, 참여 인원은 548명으로 비교 기준 대비 낮은 수준임.</w:t>
      </w:r>
    </w:p>
    <w:p>
      <w:pPr>
        <w:pStyle w:val="Caveat"/>
      </w:pPr>
      <w:r>
        <w:t xml:space="preserve">한계: 프로그램 유형, 정원, 사전예약 방식이 다르면 단순 참여 인원 비교의 의미가 제한됩니다.</w:t>
      </w:r>
    </w:p>
    <w:p>
      <w:pPr>
        <w:pStyle w:val="Bullet"/>
      </w:pPr>
      <w:r>
        <w:t xml:space="preserve">• 선별된 부정 및 건의 반응에서는 혼잡도와 감상 동선에 관한 의견이 확인됨.</w:t>
      </w:r>
    </w:p>
    <w:p>
      <w:pPr>
        <w:pStyle w:val="Caveat"/>
      </w:pPr>
      <w:r>
        <w:t xml:space="preserve">한계: 아래 반응은 전체 관객 의견의 통계적 표본이 아니라 보고서 작성자가 선별 입력한 후기입니다.</w:t>
      </w:r>
    </w:p>
    <w:p>
      <w:pPr>
        <w:pStyle w:val="Bullet"/>
      </w:pPr>
      <w:r>
        <w:t xml:space="preserve">• 총 사용 예산은 높은 편이나, 관객당 비용은 13,816원/명으로 정기 기획전 기준값과 비교해 검토할 수 있음.</w:t>
      </w:r>
    </w:p>
    <w:p>
      <w:pPr>
        <w:pStyle w:val="Caveat"/>
      </w:pPr>
      <w:r>
        <w:t xml:space="preserve">한계: 관객당 비용은 예산 총액과 관객 수만 반영하므로 전시의 질적 완성도나 제작 난이도를 직접 평가하지 않습니다.</w:t>
      </w:r>
    </w:p>
    <w:p>
      <w:pPr>
        <w:pStyle w:val="Heading1"/>
      </w:pPr>
      <w:r>
        <w:t xml:space="preserve">IV. 세부 관찰</w:t>
      </w:r>
    </w:p>
    <w:p>
      <w:pPr>
        <w:pStyle w:val="Heading2"/>
      </w:pPr>
      <w:r>
        <w:t xml:space="preserve">1. 전시 구성</w:t>
      </w:r>
    </w:p>
    <w:p>
      <w:pPr>
        <w:pStyle w:val="BodyText"/>
      </w:pPr>
      <w:r>
        <w:t xml:space="preserve">전시 구성 항목에는 전시실별 구성·작품 수·공간 연출·연계 프로그램 운영 내역을 입력합니다. 현재 샘플은 프로그램 참여 지표를 중심으로 구성됩니다.</w:t>
      </w:r>
    </w:p>
    <w:p>
      <w:pPr>
        <w:pStyle w:val="Heading2"/>
      </w:pPr>
      <w:r>
        <w:t xml:space="preserve">프로그램 참여 인원은 정기 기획전 평균을 하회함</w:t>
      </w:r>
    </w:p>
    <w:p>
      <w:pPr>
        <w:pStyle w:val="BodyText"/>
      </w:pPr>
      <w:r>
        <w:t xml:space="preserve">프로그램 8개 65회차가 운영되었고, 참여 인원은 548명으로 비교 기준 대비 낮은 수준임.</w:t>
      </w:r>
    </w:p>
    <w:p>
      <w:pPr>
        <w:pStyle w:val="Caveat"/>
      </w:pPr>
      <w:r>
        <w:t xml:space="preserve">한계: 프로그램 유형, 정원, 사전예약 방식이 다르면 단순 참여 인원 비교의 의미가 제한됩니다.</w:t>
      </w:r>
    </w:p>
    <w:p>
      <w:pPr>
        <w:pStyle w:val="EvidenceLabel"/>
      </w:pPr>
      <w:r>
        <w:t xml:space="preserve">근거</w:t>
      </w:r>
    </w:p>
    <w:p>
      <w:pPr>
        <w:pStyle w:val="Evidence"/>
      </w:pPr>
      <w:r>
        <w:t xml:space="preserve">• 프로그램 참여 인원: 548명</w:t>
      </w:r>
    </w:p>
    <w:p>
      <w:pPr>
        <w:pStyle w:val="Evidence"/>
      </w:pPr>
      <w:r>
        <w:t xml:space="preserve">• 정기 기획전 평균: 806명</w:t>
      </w:r>
    </w:p>
    <w:p>
      <w:pPr>
        <w:pStyle w:val="Evidence"/>
      </w:pPr>
      <w:r>
        <w:t xml:space="preserve">• 프로그램 참여율: 3.6%</w:t>
      </w:r>
    </w:p>
    <w:p>
      <w:pPr>
        <w:pStyle w:val="Evidence"/>
      </w:pPr>
      <w:r>
        <w:t xml:space="preserve">• 평균 대비 차이: -32%</w:t>
      </w:r>
    </w:p>
    <w:p>
      <w:pPr>
        <w:pStyle w:val="Heading2"/>
      </w:pPr>
      <w:r>
        <w:t xml:space="preserve">2. 전시 결과</w:t>
      </w:r>
    </w:p>
    <w:p>
      <w:pPr>
        <w:pStyle w:val="Heading2"/>
      </w:pPr>
      <w:r>
        <w:t xml:space="preserve">총 관객 수와 일평균 관객 수가 정기 기획전 평균을 상회함</w:t>
      </w:r>
    </w:p>
    <w:p>
      <w:pPr>
        <w:pStyle w:val="BodyText"/>
      </w:pPr>
      <w:r>
        <w:t xml:space="preserve">총 관객 수 15,200명, 일평균 230명으로 정기 기획전 평균 대비 높은 관객 규모가 확인됨.</w:t>
      </w:r>
    </w:p>
    <w:p>
      <w:pPr>
        <w:pStyle w:val="Caveat"/>
      </w:pPr>
      <w:r>
        <w:t xml:space="preserve">한계: 기존 전시 원자료의 유형 분류와 입력된 수치를 바탕으로 자동 산출한 비교군입니다. 성과 판정이 아니라 수치상 특이점으로 기록합니다.</w:t>
      </w:r>
    </w:p>
    <w:p>
      <w:pPr>
        <w:pStyle w:val="EvidenceLabel"/>
      </w:pPr>
      <w:r>
        <w:t xml:space="preserve">근거</w:t>
      </w:r>
    </w:p>
    <w:p>
      <w:pPr>
        <w:pStyle w:val="Evidence"/>
      </w:pPr>
      <w:r>
        <w:t xml:space="preserve">• 총 관객 수: 15,200명</w:t>
      </w:r>
    </w:p>
    <w:p>
      <w:pPr>
        <w:pStyle w:val="Evidence"/>
      </w:pPr>
      <w:r>
        <w:t xml:space="preserve">• 정기 기획전 평균: 9,538명</w:t>
      </w:r>
    </w:p>
    <w:p>
      <w:pPr>
        <w:pStyle w:val="Evidence"/>
      </w:pPr>
      <w:r>
        <w:t xml:space="preserve">• 평균 대비 차이: +59.4%</w:t>
      </w:r>
    </w:p>
    <w:p>
      <w:pPr>
        <w:pStyle w:val="Evidence"/>
      </w:pPr>
      <w:r>
        <w:t xml:space="preserve">• 일평균 관객: 230명</w:t>
      </w:r>
    </w:p>
    <w:p>
      <w:pPr>
        <w:pStyle w:val="Evidence"/>
      </w:pPr>
      <w:r>
        <w:t xml:space="preserve">• 일평균 기준값: 158.4명</w:t>
      </w:r>
    </w:p>
    <w:p>
      <w:pPr>
        <w:pStyle w:val="Heading2"/>
      </w:pPr>
      <w:r>
        <w:t xml:space="preserve">관객당 비용이 비교 기준 대비 산출됨</w:t>
      </w:r>
    </w:p>
    <w:p>
      <w:pPr>
        <w:pStyle w:val="BodyText"/>
      </w:pPr>
      <w:r>
        <w:t xml:space="preserve">총 사용 예산은 높은 편이나, 관객당 비용은 13,816원/명으로 정기 기획전 기준값과 비교해 검토할 수 있음.</w:t>
      </w:r>
    </w:p>
    <w:p>
      <w:pPr>
        <w:pStyle w:val="Caveat"/>
      </w:pPr>
      <w:r>
        <w:t xml:space="preserve">한계: 관객당 비용은 예산 총액과 관객 수만 반영하므로 전시의 질적 완성도나 제작 난이도를 직접 평가하지 않습니다.</w:t>
      </w:r>
    </w:p>
    <w:p>
      <w:pPr>
        <w:pStyle w:val="EvidenceLabel"/>
      </w:pPr>
      <w:r>
        <w:t xml:space="preserve">근거</w:t>
      </w:r>
    </w:p>
    <w:p>
      <w:pPr>
        <w:pStyle w:val="Evidence"/>
      </w:pPr>
      <w:r>
        <w:t xml:space="preserve">• 총 사용 예산: 210,000,000원</w:t>
      </w:r>
    </w:p>
    <w:p>
      <w:pPr>
        <w:pStyle w:val="Evidence"/>
      </w:pPr>
      <w:r>
        <w:t xml:space="preserve">• 총 관객 수: 15,200명</w:t>
      </w:r>
    </w:p>
    <w:p>
      <w:pPr>
        <w:pStyle w:val="Evidence"/>
      </w:pPr>
      <w:r>
        <w:t xml:space="preserve">• 관객당 비용: 13,816원/명</w:t>
      </w:r>
    </w:p>
    <w:p>
      <w:pPr>
        <w:pStyle w:val="Evidence"/>
      </w:pPr>
      <w:r>
        <w:t xml:space="preserve">• 정기 기획전 기준값: 14,719원/명</w:t>
      </w:r>
    </w:p>
    <w:p>
      <w:pPr>
        <w:pStyle w:val="Heading2"/>
      </w:pPr>
      <w:r>
        <w:t xml:space="preserve">유료 관객 비율은 정기 기획전 평균보다 낮게 나타남</w:t>
      </w:r>
    </w:p>
    <w:p>
      <w:pPr>
        <w:pStyle w:val="BodyText"/>
      </w:pPr>
      <w:r>
        <w:t xml:space="preserve">유료 관객 비율은 58.6%로 정기 기획전 평균과 차이를 보이며, 관객 확대와 수입 구조를 분리해 검토할 필요가 있음.</w:t>
      </w:r>
    </w:p>
    <w:p>
      <w:pPr>
        <w:pStyle w:val="Caveat"/>
      </w:pPr>
      <w:r>
        <w:t xml:space="preserve">한계: 초대, 제휴, 패스, 단체 관람 정책의 영향을 함께 확인해야 하며 수입 성과와 단순히 동일시할 수 없습니다.</w:t>
      </w:r>
    </w:p>
    <w:p>
      <w:pPr>
        <w:pStyle w:val="EvidenceLabel"/>
      </w:pPr>
      <w:r>
        <w:t xml:space="preserve">근거</w:t>
      </w:r>
    </w:p>
    <w:p>
      <w:pPr>
        <w:pStyle w:val="Evidence"/>
      </w:pPr>
      <w:r>
        <w:t xml:space="preserve">• 유료 관객 비율: 58.6%</w:t>
      </w:r>
    </w:p>
    <w:p>
      <w:pPr>
        <w:pStyle w:val="Evidence"/>
      </w:pPr>
      <w:r>
        <w:t xml:space="preserve">• 정기 기획전 평균: 86.2%</w:t>
      </w:r>
    </w:p>
    <w:p>
      <w:pPr>
        <w:pStyle w:val="Evidence"/>
      </w:pPr>
      <w:r>
        <w:t xml:space="preserve">• 차이: -27.6%p</w:t>
      </w:r>
    </w:p>
    <w:p>
      <w:pPr>
        <w:pStyle w:val="Evidence"/>
      </w:pPr>
      <w:r>
        <w:t xml:space="preserve">• 유료 관객 수: 8,907명</w:t>
      </w:r>
    </w:p>
    <w:p>
      <w:pPr>
        <w:pStyle w:val="Heading2"/>
      </w:pPr>
      <w:r>
        <w:t xml:space="preserve">3. 홍보 및 언론</w:t>
      </w:r>
    </w:p>
    <w:p>
      <w:pPr>
        <w:pStyle w:val="Heading2"/>
      </w:pPr>
      <w:r>
        <w:t xml:space="preserve">언론 보도와 자체 채널 지표는 관객 유입 가능성과 함께 참고할 만함</w:t>
      </w:r>
    </w:p>
    <w:p>
      <w:pPr>
        <w:pStyle w:val="BodyText"/>
      </w:pPr>
      <w:r>
        <w:t xml:space="preserve">언론 보도 32건과 SNS 게시 24건은 관객 유입과의 직접 인과가 아니라 홍보 활동의 참고 지표로 다루는 것이 적절함.</w:t>
      </w:r>
    </w:p>
    <w:p>
      <w:pPr>
        <w:pStyle w:val="Caveat"/>
      </w:pPr>
      <w:r>
        <w:t xml:space="preserve">한계: 언론 보도 건수와 SNS 게시 수만으로 관객 유입의 인과관계를 확정할 수 없습니다.</w:t>
      </w:r>
    </w:p>
    <w:p>
      <w:pPr>
        <w:pStyle w:val="EvidenceLabel"/>
      </w:pPr>
      <w:r>
        <w:t xml:space="preserve">근거</w:t>
      </w:r>
    </w:p>
    <w:p>
      <w:pPr>
        <w:pStyle w:val="Evidence"/>
      </w:pPr>
      <w:r>
        <w:t xml:space="preserve">• 언론 보도 건수: 32건</w:t>
      </w:r>
    </w:p>
    <w:p>
      <w:pPr>
        <w:pStyle w:val="Evidence"/>
      </w:pPr>
      <w:r>
        <w:t xml:space="preserve">• SNS 게시 건수: 24건</w:t>
      </w:r>
    </w:p>
    <w:p>
      <w:pPr>
        <w:pStyle w:val="Evidence"/>
      </w:pPr>
      <w:r>
        <w:t xml:space="preserve">• 정기 기획전 보도 평균: 29건</w:t>
      </w:r>
    </w:p>
    <w:p>
      <w:pPr>
        <w:pStyle w:val="Evidence"/>
      </w:pPr>
      <w:r>
        <w:t xml:space="preserve">• 보도 1건당 관객 수: 475명</w:t>
      </w:r>
    </w:p>
    <w:p>
      <w:pPr>
        <w:pStyle w:val="Heading1"/>
      </w:pPr>
      <w:r>
        <w:t xml:space="preserve">V. 관객 반응 기록</w:t>
      </w:r>
    </w:p>
    <w:p>
      <w:pPr>
        <w:pStyle w:val="Heading2"/>
      </w:pPr>
      <w:r>
        <w:t xml:space="preserve">선별된 관객 후기에서 색채 경험과 공간 몰입에 대한 긍정 반응이 확인됨</w:t>
      </w:r>
    </w:p>
    <w:p>
      <w:pPr>
        <w:pStyle w:val="BodyText"/>
      </w:pPr>
      <w:r>
        <w:t xml:space="preserve">선별 입력된 관객 후기에서는 색채 경험과 공간 몰입에 관한 언급이 확인됨.</w:t>
      </w:r>
    </w:p>
    <w:p>
      <w:pPr>
        <w:pStyle w:val="Caveat"/>
      </w:pPr>
      <w:r>
        <w:t xml:space="preserve">한계: 아래 반응은 전체 관객 의견의 통계적 표본이 아니라 보고서 작성자가 선별 입력한 후기입니다.</w:t>
      </w:r>
    </w:p>
    <w:p>
      <w:pPr>
        <w:pStyle w:val="EvidenceLabel"/>
      </w:pPr>
      <w:r>
        <w:t xml:space="preserve">근거</w:t>
      </w:r>
    </w:p>
    <w:p>
      <w:pPr>
        <w:pStyle w:val="Evidence"/>
      </w:pPr>
      <w:r>
        <w:t xml:space="preserve">• SNS 인용: 색의 물질성이 느껴졌습니다.</w:t>
      </w:r>
    </w:p>
    <w:p>
      <w:pPr>
        <w:pStyle w:val="Evidence"/>
      </w:pPr>
      <w:r>
        <w:t xml:space="preserve">• 설문 인용: 아이와 함께 왔는데 색채 워크숍이 좋았습니다.</w:t>
      </w:r>
    </w:p>
    <w:p>
      <w:pPr>
        <w:pStyle w:val="Heading2"/>
      </w:pPr>
      <w:r>
        <w:t xml:space="preserve">선별된 부정/건의 반응에서 혼잡도와 감상 동선에 대한 언급이 확인됨</w:t>
      </w:r>
    </w:p>
    <w:p>
      <w:pPr>
        <w:pStyle w:val="BodyText"/>
      </w:pPr>
      <w:r>
        <w:t xml:space="preserve">선별된 부정 및 건의 반응에서는 혼잡도와 감상 동선에 관한 의견이 확인됨.</w:t>
      </w:r>
    </w:p>
    <w:p>
      <w:pPr>
        <w:pStyle w:val="Caveat"/>
      </w:pPr>
      <w:r>
        <w:t xml:space="preserve">한계: 아래 반응은 전체 관객 의견의 통계적 표본이 아니라 보고서 작성자가 선별 입력한 후기입니다.</w:t>
      </w:r>
    </w:p>
    <w:p>
      <w:pPr>
        <w:pStyle w:val="EvidenceLabel"/>
      </w:pPr>
      <w:r>
        <w:t xml:space="preserve">근거</w:t>
      </w:r>
    </w:p>
    <w:p>
      <w:pPr>
        <w:pStyle w:val="Evidence"/>
      </w:pPr>
      <w:r>
        <w:t xml:space="preserve">• SNS 인용: 인파가 많아 작품 감상이 쉽지 않았습니다.</w:t>
      </w:r>
    </w:p>
    <w:p>
      <w:pPr>
        <w:pStyle w:val="Evidence"/>
      </w:pPr>
      <w:r>
        <w:t xml:space="preserve">• 설문 인용: 사전예약제가 필요해 보입니다.</w:t>
      </w:r>
    </w:p>
    <w:p>
      <w:pPr>
        <w:pStyle w:val="Heading1"/>
      </w:pPr>
      <w:r>
        <w:t xml:space="preserve">VI. 데이터 검증 및 후속 참고</w:t>
      </w:r>
    </w:p>
    <w:p>
      <w:pPr>
        <w:pStyle w:val="BodyText"/>
      </w:pPr>
      <w:r>
        <w:t xml:space="preserve">평가 및 개선방안 항목은 성공/실패 판정이 아니라 수치상 특이점</w:t>
      </w:r>
    </w:p>
    <w:p>
      <w:pPr>
        <w:pStyle w:val="Bullet"/>
      </w:pPr>
      <w:r>
        <w:t xml:space="preserve">• 데이터 검증 필요: 본문 내 프로그램 수와 표의 프로그램 수가 일치하지 않을 가능성이 있음</w:t>
      </w:r>
    </w:p>
    <w:p>
      <w:pPr>
        <w:pStyle w:val="Caveat"/>
      </w:pPr>
      <w:r>
        <w:t xml:space="preserve">확인 필요: 자동 보고서 생성 전 검수자가 원자료의 프로그램 총수·회차·참여 인원을 확인해야 합니다.</w:t>
      </w:r>
    </w:p>
    <w:p>
      <w:pPr>
        <w:pStyle w:val="Evidence"/>
      </w:pPr>
      <w:r>
        <w:t xml:space="preserve">• 개요 표기: 총 8개(65회) 프로그램 진행·548명 참여</w:t>
      </w:r>
    </w:p>
    <w:p>
      <w:pPr>
        <w:pStyle w:val="Evidence"/>
      </w:pPr>
      <w:r>
        <w:t xml:space="preserve">• 전시 구성 표기: 총 7개 프로그램 진행·453명 참여</w:t>
      </w:r>
    </w:p>
    <w:p>
      <w:pPr>
        <w:pStyle w:val="BodyText"/>
        <w:jc w:val="right"/>
      </w:pPr>
      <w:r>
        <w:t xml:space="preserve">끝.</w:t>
      </w:r>
    </w:p>
    <w:sectPr>
      <w:pgSz w:w="11906" w:h="16838"/>
      <w:pgMar w:top="1134" w:right="1021" w:bottom="1134" w:left="1021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default="1" w:styleId="BodyText">
    <w:name w:val="Body Text"/>
    <w:rPr>
      <w:rFonts w:ascii="Malgun Gothic" w:hAnsi="Malgun Gothic" w:eastAsia="Malgun Gothic"/>
      <w:sz w:val="21"/>
    </w:rPr>
    <w:pPr>
      <w:spacing w:after="160" w:line="360" w:lineRule="auto"/>
    </w:pPr>
  </w:style>
  <w:style w:type="paragraph" w:styleId="Kicker">
    <w:name w:val="Kicker"/>
    <w:rPr>
      <w:b/>
      <w:rFonts w:ascii="Malgun Gothic" w:hAnsi="Malgun Gothic" w:eastAsia="Malgun Gothic"/>
      <w:sz w:val="22"/>
    </w:rPr>
    <w:pPr>
      <w:spacing w:before="720" w:after="720"/>
    </w:pPr>
  </w:style>
  <w:style w:type="paragraph" w:styleId="Title">
    <w:name w:val="Title"/>
    <w:rPr>
      <w:b/>
      <w:rFonts w:ascii="Malgun Gothic" w:hAnsi="Malgun Gothic" w:eastAsia="Malgun Gothic"/>
      <w:sz w:val="42"/>
    </w:rPr>
    <w:pPr>
      <w:spacing w:after="320"/>
    </w:pPr>
  </w:style>
  <w:style w:type="paragraph" w:styleId="Subtitle">
    <w:name w:val="Subtitle"/>
    <w:rPr>
      <w:rFonts w:ascii="Malgun Gothic" w:hAnsi="Malgun Gothic" w:eastAsia="Malgun Gothic"/>
      <w:sz w:val="24"/>
    </w:rPr>
    <w:pPr>
      <w:spacing w:after="720"/>
    </w:pPr>
  </w:style>
  <w:style w:type="paragraph" w:styleId="Heading1">
    <w:name w:val="Heading 1"/>
    <w:rPr>
      <w:b/>
      <w:rFonts w:ascii="Malgun Gothic" w:hAnsi="Malgun Gothic" w:eastAsia="Malgun Gothic"/>
      <w:sz w:val="30"/>
    </w:rPr>
    <w:pPr>
      <w:spacing w:before="420" w:after="180"/>
      <w:pBdr>
        <w:bottom w:val="single" w:sz="8" w:space="3" w:color="111111"/>
      </w:pBdr>
    </w:pPr>
  </w:style>
  <w:style w:type="paragraph" w:styleId="Heading2">
    <w:name w:val="Heading 2"/>
    <w:rPr>
      <w:b/>
      <w:rFonts w:ascii="Malgun Gothic" w:hAnsi="Malgun Gothic" w:eastAsia="Malgun Gothic"/>
      <w:sz w:val="23"/>
    </w:rPr>
    <w:pPr>
      <w:spacing w:before="260" w:after="120"/>
    </w:pPr>
  </w:style>
  <w:style w:type="paragraph" w:styleId="TocLine">
    <w:name w:val="TOC Line"/>
    <w:rPr>
      <w:rFonts w:ascii="Malgun Gothic" w:hAnsi="Malgun Gothic" w:eastAsia="Malgun Gothic"/>
      <w:sz w:val="22"/>
    </w:rPr>
    <w:pPr>
      <w:spacing w:after="100"/>
    </w:pPr>
  </w:style>
  <w:style w:type="paragraph" w:styleId="Bullet">
    <w:name w:val="Bullet"/>
    <w:rPr>
      <w:rFonts w:ascii="Malgun Gothic" w:hAnsi="Malgun Gothic" w:eastAsia="Malgun Gothic"/>
      <w:sz w:val="21"/>
    </w:rPr>
    <w:pPr>
      <w:spacing w:after="100" w:line="360" w:lineRule="auto"/>
    </w:pPr>
  </w:style>
  <w:style w:type="paragraph" w:styleId="Caveat">
    <w:name w:val="Caveat"/>
    <w:rPr>
      <w:color w:val="444444"/>
      <w:rFonts w:ascii="Malgun Gothic" w:hAnsi="Malgun Gothic" w:eastAsia="Malgun Gothic"/>
      <w:sz w:val="20"/>
    </w:rPr>
    <w:pPr>
      <w:ind w:left="360"/>
      <w:spacing w:after="120"/>
    </w:pPr>
  </w:style>
  <w:style w:type="paragraph" w:styleId="EvidenceLabel">
    <w:name w:val="Evidence Label"/>
    <w:rPr>
      <w:b/>
      <w:rFonts w:ascii="Malgun Gothic" w:hAnsi="Malgun Gothic" w:eastAsia="Malgun Gothic"/>
      <w:sz w:val="20"/>
    </w:rPr>
    <w:pPr>
      <w:spacing w:before="120" w:after="40"/>
    </w:pPr>
  </w:style>
  <w:style w:type="paragraph" w:styleId="Evidence">
    <w:name w:val="Evidence"/>
    <w:rPr>
      <w:color w:val="555555"/>
      <w:rFonts w:ascii="Malgun Gothic" w:hAnsi="Malgun Gothic" w:eastAsia="Malgun Gothic"/>
      <w:sz w:val="19"/>
    </w:rPr>
    <w:pPr>
      <w:ind w:left="360"/>
      <w:spacing w:after="80"/>
    </w:pPr>
  </w:style>
  <w:style w:type="paragraph" w:styleId="TableText">
    <w:name w:val="Table Text"/>
    <w:rPr>
      <w:rFonts w:ascii="Malgun Gothic" w:hAnsi="Malgun Gothic" w:eastAsia="Malgun Gothic"/>
      <w:sz w:val="19"/>
    </w:rPr>
    <w:pPr>
      <w:spacing w:after="0"/>
    </w:pPr>
  </w:style>
</w:styles>
</file>