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1.4억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예산 집행률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92.4%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89.7%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35,600,000원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0.3억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14,719원/명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86.2%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단체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8%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6.7%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55회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186점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126,781점 대비 하회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