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276" w:lineRule="auto"/>
        <w:jc w:val="center"/>
      </w:pPr>
      <w:r>
        <w:rPr>
          <w:rFonts w:ascii="Noto Sans" w:hAnsi="Noto Sans" w:eastAsia="Noto Sans CJK KR"/>
          <w:b/>
          <w:i w:val="0"/>
          <w:color w:val="000000"/>
          <w:sz w:val="32"/>
          <w:u w:val="none"/>
        </w:rPr>
        <w:t>전시보고서 - 《하이퍼 옐로우》</w:t>
      </w:r>
    </w:p>
    <w:p>
      <w:pPr>
        <w:spacing w:before="80" w:after="80"/>
        <w:pBdr>
          <w:bottom w:val="single" w:sz="6" w:space="1" w:color="000000"/>
        </w:pBdr>
      </w:pPr>
    </w:p>
    <w:p>
      <w:pPr>
        <w:spacing w:before="120" w:after="12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2"/>
          <w:u w:val="none"/>
        </w:rPr>
        <w:t>I. 전시 개요</w:t>
      </w:r>
    </w:p>
    <w:p>
      <w:pPr>
        <w:spacing w:before="80" w:after="80"/>
        <w:pBdr>
          <w:bottom w:val="single" w:sz="6" w:space="1" w:color="000000"/>
        </w:pBdr>
      </w:pPr>
    </w:p>
    <w:p>
      <w:pPr>
        <w:spacing w:before="120" w:after="12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2"/>
          <w:u w:val="none"/>
        </w:rPr>
        <w:t>II. 전시 주제와 내용</w:t>
      </w:r>
    </w:p>
    <w:p>
      <w:pPr>
        <w:spacing w:before="80" w:after="80"/>
        <w:pBdr>
          <w:bottom w:val="single" w:sz="6" w:space="1" w:color="000000"/>
        </w:pBdr>
      </w:pPr>
    </w:p>
    <w:p>
      <w:pPr>
        <w:spacing w:before="120" w:after="12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2"/>
          <w:u w:val="none"/>
        </w:rPr>
        <w:t>III. 전시 구성</w:t>
      </w:r>
    </w:p>
    <w:p>
      <w:pPr>
        <w:spacing w:before="80" w:after="80"/>
        <w:pBdr>
          <w:bottom w:val="single" w:sz="6" w:space="1" w:color="000000"/>
        </w:pBdr>
      </w:pPr>
    </w:p>
    <w:p>
      <w:pPr>
        <w:spacing w:before="120" w:after="12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2"/>
          <w:u w:val="none"/>
        </w:rPr>
        <w:t>IV. 전시 결과</w:t>
      </w:r>
    </w:p>
    <w:p>
      <w:pPr>
        <w:spacing w:before="80" w:after="80"/>
        <w:pBdr>
          <w:bottom w:val="single" w:sz="6" w:space="1" w:color="000000"/>
        </w:pBdr>
      </w:pPr>
    </w:p>
    <w:p>
      <w:pPr>
        <w:spacing w:before="120" w:after="12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2"/>
          <w:u w:val="none"/>
        </w:rPr>
        <w:t>V. 홍보 방식 및 언론 보도</w:t>
      </w:r>
    </w:p>
    <w:p>
      <w:pPr>
        <w:spacing w:before="80" w:after="80"/>
        <w:pBdr>
          <w:bottom w:val="single" w:sz="6" w:space="1" w:color="000000"/>
        </w:pBdr>
      </w:pPr>
    </w:p>
    <w:p>
      <w:pPr>
        <w:spacing w:before="120" w:after="12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2"/>
          <w:u w:val="none"/>
        </w:rPr>
        <w:t>VI. 평가 및 개선 방안</w:t>
      </w:r>
    </w:p>
    <w:p>
      <w:pPr>
        <w:spacing w:before="80" w:after="80"/>
        <w:pBdr>
          <w:bottom w:val="single" w:sz="6" w:space="1" w:color="000000"/>
        </w:pBdr>
      </w:pPr>
    </w:p>
    <w:p>
      <w:r>
        <w:br w:type="page"/>
      </w:r>
    </w:p>
    <w:p>
      <w:pPr>
        <w:spacing w:before="400" w:after="20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8"/>
          <w:u w:val="none"/>
        </w:rPr>
        <w:t>I. 전시 개요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전시 제목: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《하이퍼 옐로우》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전시 기간: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2024.09.06(금) - 2024.10.27(일) (52일간, 월요일 휴관)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참여 작가: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구정연, 이미래, 장서영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책임기획: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최지현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기획: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윤지현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진행: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윤율리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홍보: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전다희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후원: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한국문화예술위원회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총 사용 예산: </w:t>
      </w:r>
      <w:r>
        <w:rPr>
          <w:rFonts w:ascii="Noto Sans" w:hAnsi="Noto Sans" w:eastAsia="Noto Sans CJK KR"/>
          <w:b/>
          <w:i w:val="0"/>
          <w:color w:val="000000"/>
          <w:sz w:val="20"/>
          <w:u w:val="single"/>
        </w:rPr>
        <w:t>약 1억 4천 2백만 원(142,438,012원)</w:t>
      </w:r>
    </w:p>
    <w:p>
      <w:pPr>
        <w:spacing w:before="20" w:after="20" w:line="336" w:lineRule="auto"/>
        <w:ind w:left="680"/>
        <w:jc w:val="left"/>
      </w:pP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- 지출 구성: 전시비 130,773,012원 / 부대비 11,665,000원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총수입: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49,574,000원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프로그램: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총 8개(27회) 프로그램 진행, 719명 참여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운영 인력: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스태프 10명, 봉사단 12명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관객 수: </w:t>
      </w:r>
      <w:r>
        <w:rPr>
          <w:rFonts w:ascii="Noto Sans" w:hAnsi="Noto Sans" w:eastAsia="Noto Sans CJK KR"/>
          <w:b/>
          <w:i w:val="0"/>
          <w:color w:val="000000"/>
          <w:sz w:val="20"/>
          <w:u w:val="single"/>
        </w:rPr>
        <w:t>7,009명</w:t>
      </w:r>
    </w:p>
    <w:p>
      <w:pPr>
        <w:spacing w:before="0" w:after="80" w:line="276" w:lineRule="auto"/>
        <w:jc w:val="left"/>
      </w:pPr>
    </w:p>
    <w:p>
      <w:pPr>
        <w:spacing w:before="400" w:after="20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8"/>
          <w:u w:val="none"/>
        </w:rPr>
        <w:t>II. 전시 주제와 내용</w:t>
      </w:r>
    </w:p>
    <w:p>
      <w:pPr>
        <w:spacing w:before="0" w:after="120" w:line="360" w:lineRule="auto"/>
        <w:ind w:firstLine="283"/>
        <w:jc w:val="left"/>
      </w:pP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《하이퍼 옐로우》는 노란색이라는 색채를 통해 동시대 미술의 감각적 경험을 탐구하는 전시이다. 세 명의 작가가 각자의 매체와 언어로 '옐로우'라는 주제에 접근하며, 관객에게 시각적, 촉각적, 청각적 경험을 총체적으로 제공한다.</w:t>
      </w:r>
    </w:p>
    <w:p>
      <w:pPr>
        <w:spacing w:before="0" w:after="120" w:line="360" w:lineRule="auto"/>
        <w:ind w:firstLine="283"/>
        <w:jc w:val="left"/>
      </w:pP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전시는 회화, 영상, 설치 등 다양한 매체를 아우르며, 색채가 단순한 시각적 요소를 넘어 감정과 사회적 의미를 어떻게 전달하는지를 탐구한다. 작가들은 각자의 방식으로 노란색의 다층적 의미를 풀어내며, 관객이 능동적으로 작품을 경험할 수 있는 공간을 만들어낸다.</w:t>
      </w:r>
    </w:p>
    <w:p>
      <w:r>
        <w:br w:type="page"/>
      </w:r>
    </w:p>
    <w:p>
      <w:pPr>
        <w:spacing w:before="400" w:after="20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8"/>
          <w:u w:val="none"/>
        </w:rPr>
        <w:t>III. 전시 구성</w:t>
      </w:r>
    </w:p>
    <w:p>
      <w:pPr>
        <w:spacing w:before="280" w:after="12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4"/>
          <w:u w:val="none"/>
        </w:rPr>
        <w:t>1. 전시</w:t>
      </w:r>
    </w:p>
    <w:p>
      <w:pPr>
        <w:spacing w:before="200" w:after="8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2"/>
          <w:u w:val="none"/>
        </w:rPr>
        <w:t>1) 1전시실</w:t>
      </w:r>
    </w:p>
    <w:p>
      <w:pPr>
        <w:spacing w:before="160" w:after="8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>① 참여 작가</w:t>
      </w:r>
    </w:p>
    <w:p>
      <w:pPr>
        <w:spacing w:before="0" w:after="80" w:line="276" w:lineRule="auto"/>
        <w:ind w:left="454"/>
        <w:jc w:val="left"/>
      </w:pP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구정연, 이미래</w:t>
      </w:r>
    </w:p>
    <w:p>
      <w:pPr>
        <w:spacing w:before="200" w:after="8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2"/>
          <w:u w:val="none"/>
        </w:rPr>
        <w:t>2) 2전시실</w:t>
      </w:r>
    </w:p>
    <w:p>
      <w:pPr>
        <w:spacing w:before="160" w:after="8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>① 참여 작가</w:t>
      </w:r>
    </w:p>
    <w:p>
      <w:pPr>
        <w:spacing w:before="0" w:after="80" w:line="276" w:lineRule="auto"/>
        <w:ind w:left="454"/>
        <w:jc w:val="left"/>
      </w:pP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장서영</w:t>
      </w:r>
    </w:p>
    <w:p>
      <w:pPr>
        <w:spacing w:before="280" w:after="12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4"/>
          <w:u w:val="none"/>
        </w:rPr>
        <w:t>2. 전시 연계 프로그램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 xml:space="preserve"> - 총 3개 프로그램 진행, 105명 참여</w:t>
      </w:r>
    </w:p>
    <w:p>
      <w:pPr>
        <w:spacing w:before="200" w:after="8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2"/>
          <w:u w:val="none"/>
        </w:rPr>
        <w:t>1) 프로그램 운영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417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구분</w:t>
            </w:r>
          </w:p>
        </w:tc>
        <w:tc>
          <w:tcPr>
            <w:tcW w:type="dxa" w:w="2551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제목</w:t>
            </w:r>
          </w:p>
        </w:tc>
        <w:tc>
          <w:tcPr>
            <w:tcW w:type="dxa" w:w="1701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일자</w:t>
            </w:r>
          </w:p>
        </w:tc>
        <w:tc>
          <w:tcPr>
            <w:tcW w:type="dxa" w:w="1134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참여 인원</w:t>
            </w:r>
          </w:p>
        </w:tc>
        <w:tc>
          <w:tcPr>
            <w:tcW w:type="dxa" w:w="1984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비고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아티스트 토크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작가와의 대화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2024.09.20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50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큐레이터 투어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전시 해설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2024.09.14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30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워크숍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색채 워크숍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2024.10.05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25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가족 대상</w:t>
            </w:r>
          </w:p>
        </w:tc>
      </w:tr>
    </w:tbl>
    <w:p>
      <w:pPr>
        <w:spacing w:before="280" w:after="12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4"/>
          <w:u w:val="none"/>
        </w:rPr>
        <w:t>3. 전시운영인력</w:t>
      </w:r>
    </w:p>
    <w:p>
      <w:pPr>
        <w:spacing w:before="200" w:after="8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2"/>
          <w:u w:val="none"/>
        </w:rPr>
        <w:t>1) 스태프</w:t>
      </w:r>
    </w:p>
    <w:p>
      <w:pPr>
        <w:spacing w:before="160" w:after="8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>① 인원</w:t>
      </w:r>
    </w:p>
    <w:p>
      <w:pPr>
        <w:spacing w:before="0" w:after="80" w:line="276" w:lineRule="auto"/>
        <w:ind w:left="454"/>
        <w:jc w:val="left"/>
      </w:pP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총 10명</w:t>
      </w:r>
    </w:p>
    <w:p>
      <w:pPr>
        <w:spacing w:before="160" w:after="8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>② 역할 및 활동 내용</w:t>
      </w:r>
    </w:p>
    <w:p>
      <w:pPr>
        <w:spacing w:before="0" w:after="80" w:line="276" w:lineRule="auto"/>
        <w:ind w:left="454"/>
        <w:jc w:val="left"/>
      </w:pP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전시 안내, 작품 모니터링, 관객 응대</w:t>
      </w:r>
    </w:p>
    <w:p>
      <w:pPr>
        <w:spacing w:before="200" w:after="8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2"/>
          <w:u w:val="none"/>
        </w:rPr>
        <w:t>2) 봉사단</w:t>
      </w:r>
    </w:p>
    <w:p>
      <w:pPr>
        <w:spacing w:before="160" w:after="8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>① 인원</w:t>
      </w:r>
    </w:p>
    <w:p>
      <w:pPr>
        <w:spacing w:before="0" w:after="80" w:line="276" w:lineRule="auto"/>
        <w:ind w:left="454"/>
        <w:jc w:val="left"/>
      </w:pP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총 12명 (제17기)</w:t>
      </w:r>
    </w:p>
    <w:p>
      <w:pPr>
        <w:spacing w:before="160" w:after="8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>② 역할 및 활동 내용</w:t>
      </w:r>
    </w:p>
    <w:p>
      <w:pPr>
        <w:spacing w:before="0" w:after="80" w:line="276" w:lineRule="auto"/>
        <w:ind w:left="454"/>
        <w:jc w:val="left"/>
      </w:pP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전시 안내 보조, 교육 프로그램 지원</w:t>
      </w:r>
    </w:p>
    <w:p>
      <w:pPr>
        <w:spacing w:before="280" w:after="12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4"/>
          <w:u w:val="none"/>
        </w:rPr>
        <w:t>4. 인쇄물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13"/>
        <w:gridCol w:w="4513"/>
      </w:tblGrid>
      <w:tr>
        <w:tc>
          <w:tcPr>
            <w:tcW w:type="dxa" w:w="4535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종류</w:t>
            </w:r>
          </w:p>
        </w:tc>
        <w:tc>
          <w:tcPr>
            <w:tcW w:type="dxa" w:w="4535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제작 수량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리플렛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5,000부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포스터(B1)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200부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초청장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300부</w:t>
            </w:r>
          </w:p>
        </w:tc>
      </w:tr>
    </w:tbl>
    <w:p>
      <w:r>
        <w:br w:type="page"/>
      </w:r>
    </w:p>
    <w:p>
      <w:pPr>
        <w:spacing w:before="400" w:after="20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8"/>
          <w:u w:val="none"/>
        </w:rPr>
        <w:t>IV. 전시 결과</w:t>
      </w:r>
    </w:p>
    <w:p>
      <w:pPr>
        <w:spacing w:before="280" w:after="12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4"/>
          <w:u w:val="none"/>
        </w:rPr>
        <w:t>1. 예산 및 지출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지출 총액: </w:t>
      </w:r>
      <w:r>
        <w:rPr>
          <w:rFonts w:ascii="Noto Sans" w:hAnsi="Noto Sans" w:eastAsia="Noto Sans CJK KR"/>
          <w:b/>
          <w:i w:val="0"/>
          <w:color w:val="000000"/>
          <w:sz w:val="20"/>
          <w:u w:val="single"/>
        </w:rPr>
        <w:t>약 1억 4천 2백만 원(142,438,012원)</w:t>
      </w:r>
    </w:p>
    <w:p>
      <w:pPr>
        <w:spacing w:before="20" w:after="20" w:line="336" w:lineRule="auto"/>
        <w:ind w:left="680"/>
        <w:jc w:val="left"/>
      </w:pP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- 지출 구성: 전시비 130,773,012원 / 부대비 11,665,000원</w:t>
      </w:r>
    </w:p>
    <w:p>
      <w:pPr>
        <w:spacing w:before="120" w:after="80" w:line="276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984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사업</w:t>
            </w:r>
          </w:p>
        </w:tc>
        <w:tc>
          <w:tcPr>
            <w:tcW w:type="dxa" w:w="2268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계획 예산(원)</w:t>
            </w:r>
          </w:p>
        </w:tc>
        <w:tc>
          <w:tcPr>
            <w:tcW w:type="dxa" w:w="2268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집행 예산(원)</w:t>
            </w:r>
          </w:p>
        </w:tc>
        <w:tc>
          <w:tcPr>
            <w:tcW w:type="dxa" w:w="2268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계획 대비 집행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전시 사업비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125,200,000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130,773,012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104.4%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부대 사업비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12,000,000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11,665,000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97.2%</w:t>
            </w:r>
          </w:p>
        </w:tc>
      </w:tr>
    </w:tbl>
    <w:p>
      <w:pPr>
        <w:spacing w:before="40" w:after="80" w:line="312" w:lineRule="auto"/>
        <w:ind w:left="567"/>
        <w:jc w:val="left"/>
      </w:pPr>
      <w:r>
        <w:rPr>
          <w:rFonts w:ascii="Noto Sans" w:hAnsi="Noto Sans" w:eastAsia="Noto Sans CJK KR"/>
          <w:b w:val="0"/>
          <w:i w:val="0"/>
          <w:color w:val="0070C0"/>
          <w:sz w:val="20"/>
          <w:u w:val="none"/>
        </w:rPr>
        <w:t>→ 전시 예산의 104.2% 사용: 작가 설치비 추가 지출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29027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pv8jky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2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 w:line="276" w:lineRule="auto"/>
        <w:jc w:val="left"/>
      </w:pPr>
    </w:p>
    <w:p>
      <w:pPr>
        <w:spacing w:before="0" w:after="80" w:line="276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>예산 집행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417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사업</w:t>
            </w:r>
          </w:p>
        </w:tc>
        <w:tc>
          <w:tcPr>
            <w:tcW w:type="dxa" w:w="1701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세목</w:t>
            </w:r>
          </w:p>
        </w:tc>
        <w:tc>
          <w:tcPr>
            <w:tcW w:type="dxa" w:w="2268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내역</w:t>
            </w:r>
          </w:p>
        </w:tc>
        <w:tc>
          <w:tcPr>
            <w:tcW w:type="dxa" w:w="1984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금액(원)</w:t>
            </w:r>
          </w:p>
        </w:tc>
        <w:tc>
          <w:tcPr>
            <w:tcW w:type="dxa" w:w="1701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비고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전시비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작품 제작비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작가 3인 제작 지원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45,000,000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전시비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설치비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전시장 설치/철거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28,000,000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전시비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디자인비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인쇄물 디자인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8,500,000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부대비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교육 프로그램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워크숍 3회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5,000,000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</w:r>
          </w:p>
        </w:tc>
      </w:tr>
    </w:tbl>
    <w:p>
      <w:pPr>
        <w:spacing w:before="280" w:after="12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4"/>
          <w:u w:val="none"/>
        </w:rPr>
        <w:t>2. 총 관객 수 및 수익 결산</w:t>
      </w:r>
    </w:p>
    <w:p>
      <w:pPr>
        <w:spacing w:before="200" w:after="8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2"/>
          <w:u w:val="none"/>
        </w:rPr>
        <w:t>1) 총 관객 수 7,009명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일평균 관객: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135명</w:t>
      </w:r>
    </w:p>
    <w:p>
      <w:pPr>
        <w:spacing w:before="20" w:after="20" w:line="336" w:lineRule="auto"/>
        <w:ind w:left="680"/>
        <w:jc w:val="left"/>
      </w:pP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- 짧은 전시 기간(52일) 대비 양호한 관객 수 기록</w:t>
      </w:r>
    </w:p>
    <w:p>
      <w:pPr>
        <w:spacing w:before="200" w:after="8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2"/>
          <w:u w:val="none"/>
        </w:rPr>
        <w:t>2) 총 수입 49,574,000원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입장 수입: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42,574,000원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제휴 수입: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7,000,000원</w:t>
      </w:r>
    </w:p>
    <w:p>
      <w:pPr>
        <w:spacing w:before="280" w:after="12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4"/>
          <w:u w:val="none"/>
        </w:rPr>
        <w:t>3. 관객 구성</w:t>
      </w:r>
    </w:p>
    <w:p>
      <w:pPr>
        <w:spacing w:before="0" w:after="120" w:line="276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>※ 티켓 권종 기준으로 작성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3642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qw5msi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42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/>
          <w:i w:val="0"/>
          <w:color w:val="000000"/>
          <w:sz w:val="20"/>
          <w:u w:val="single"/>
        </w:rPr>
        <w:t>예술인패스 관객이 전체의 7.3%를 차지하며 높은 비율 기록</w:t>
      </w:r>
    </w:p>
    <w:p>
      <w:pPr>
        <w:spacing w:before="40" w:after="80" w:line="312" w:lineRule="auto"/>
        <w:ind w:left="567"/>
        <w:jc w:val="left"/>
      </w:pPr>
      <w:r>
        <w:rPr>
          <w:rFonts w:ascii="Noto Sans" w:hAnsi="Noto Sans" w:eastAsia="Noto Sans CJK KR"/>
          <w:b w:val="0"/>
          <w:i w:val="0"/>
          <w:color w:val="0070C0"/>
          <w:sz w:val="20"/>
          <w:u w:val="none"/>
        </w:rPr>
        <w:t>→ 예술인패스 관객 대상 특화 프로그램 기획 검토 필요</w:t>
      </w:r>
    </w:p>
    <w:p>
      <w:pPr>
        <w:spacing w:before="20" w:after="20" w:line="336" w:lineRule="auto"/>
        <w:ind w:left="680"/>
        <w:jc w:val="left"/>
      </w:pP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- 20~30대 관객이 전체의 약 66% 차지</w:t>
      </w:r>
    </w:p>
    <w:p>
      <w:pPr>
        <w:spacing w:before="160" w:after="80" w:line="276" w:lineRule="auto"/>
        <w:jc w:val="left"/>
      </w:pP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3611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vw948k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1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 w:line="276" w:lineRule="auto"/>
        <w:jc w:val="left"/>
      </w:pP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4894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a0h23q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89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 w:line="360" w:lineRule="auto"/>
        <w:jc w:val="left"/>
      </w:pP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20~30대 관객이 전체의 약 66%를 차지하며, 주요 타겟층의 방문율이 높게 나타났다. 9월 대비 10월 관객 수가 증가한 것은 SNS 바이럴 효과와 연계 프로그램 집중 운영의 결과로 분석된다.</w:t>
      </w:r>
    </w:p>
    <w:p>
      <w:r>
        <w:br w:type="page"/>
      </w:r>
    </w:p>
    <w:p>
      <w:pPr>
        <w:spacing w:before="400" w:after="20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8"/>
          <w:u w:val="none"/>
        </w:rPr>
        <w:t>V. 홍보 방식 및 언론 보도</w:t>
      </w:r>
    </w:p>
    <w:p>
      <w:pPr>
        <w:spacing w:before="280" w:after="12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4"/>
          <w:u w:val="none"/>
        </w:rPr>
        <w:t>1. 홍보 방식</w:t>
      </w:r>
    </w:p>
    <w:p>
      <w:pPr>
        <w:spacing w:before="200" w:after="8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2"/>
          <w:u w:val="none"/>
        </w:rPr>
        <w:t>1) 광고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서울 주요 지하철역(광화문, 을지로, 종각) 포스터 게시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미술전문 주간지 광고 게재 (월간미술, 아트인컬쳐)</w:t>
      </w:r>
    </w:p>
    <w:p>
      <w:pPr>
        <w:spacing w:before="200" w:after="8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2"/>
          <w:u w:val="none"/>
        </w:rPr>
        <w:t>2) 보도자료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보도자료 3회 배포 (개막 전, 개막 당일, 연계 프로그램)</w:t>
      </w:r>
    </w:p>
    <w:p>
      <w:pPr>
        <w:spacing w:before="200" w:after="8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2"/>
          <w:u w:val="none"/>
        </w:rPr>
        <w:t>3) SNS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인스타그램 게시물 35회, 릴스 8회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페이스북 게시물 15회</w:t>
      </w:r>
    </w:p>
    <w:p>
      <w:pPr>
        <w:spacing w:before="280" w:after="12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4"/>
          <w:u w:val="none"/>
        </w:rPr>
        <w:t>2. 언론보도 리스트</w:t>
      </w:r>
    </w:p>
    <w:p>
      <w:pPr>
        <w:spacing w:before="200" w:after="8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2"/>
          <w:u w:val="none"/>
        </w:rPr>
        <w:t>1) 일간지 및 월간지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701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매체명</w:t>
            </w:r>
          </w:p>
        </w:tc>
        <w:tc>
          <w:tcPr>
            <w:tcW w:type="dxa" w:w="1701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일자</w:t>
            </w:r>
          </w:p>
        </w:tc>
        <w:tc>
          <w:tcPr>
            <w:tcW w:type="dxa" w:w="3402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제목</w:t>
            </w:r>
          </w:p>
        </w:tc>
        <w:tc>
          <w:tcPr>
            <w:tcW w:type="dxa" w:w="2268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비고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조선일보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2024.09.07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일민미술관, 하이퍼 옐로우 전시 개막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경향신문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2024.09.10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색채로 탐구하는 동시대 미술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</w:r>
          </w:p>
        </w:tc>
      </w:tr>
    </w:tbl>
    <w:p>
      <w:pPr>
        <w:spacing w:before="200" w:after="8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2"/>
          <w:u w:val="none"/>
        </w:rPr>
        <w:t>2) 온라인 매체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701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매체명</w:t>
            </w:r>
          </w:p>
        </w:tc>
        <w:tc>
          <w:tcPr>
            <w:tcW w:type="dxa" w:w="1701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일자</w:t>
            </w:r>
          </w:p>
        </w:tc>
        <w:tc>
          <w:tcPr>
            <w:tcW w:type="dxa" w:w="2835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제목</w:t>
            </w:r>
          </w:p>
        </w:tc>
        <w:tc>
          <w:tcPr>
            <w:tcW w:type="dxa" w:w="2835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URL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아트인사이트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2024.09.08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하이퍼 옐로우 리뷰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네이버 아트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2024.09.12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이번 주 추천 전시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</w:r>
          </w:p>
        </w:tc>
      </w:tr>
    </w:tbl>
    <w:p>
      <w:pPr>
        <w:spacing w:before="280" w:after="12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4"/>
          <w:u w:val="none"/>
        </w:rPr>
        <w:t>3. 멤버십 커뮤니케이션</w:t>
      </w:r>
    </w:p>
    <w:p>
      <w:pPr>
        <w:spacing w:before="0" w:after="80" w:line="336" w:lineRule="auto"/>
        <w:jc w:val="left"/>
      </w:pP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멤버십 회원 대상 프리뷰 행사 개최 (2024.09.05)</w:t>
        <w:br/>
        <w:t>참여 인원: 85명</w:t>
        <w:br/>
        <w:t>멤버십 전용 뉴스레터 발송 3회</w:t>
      </w:r>
    </w:p>
    <w:p>
      <w:pPr>
        <w:spacing w:before="280" w:after="12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4"/>
          <w:u w:val="none"/>
        </w:rPr>
        <w:t>4. IMA Critics</w:t>
      </w:r>
    </w:p>
    <w:p>
      <w:pPr>
        <w:spacing w:before="0" w:after="80" w:line="336" w:lineRule="auto"/>
        <w:jc w:val="left"/>
      </w:pP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비평가 초청 리뷰 프로그램 운영</w:t>
        <w:br/>
        <w:t>참여 비평가: 2명</w:t>
        <w:br/>
        <w:t>온라인 게재: 일민미술관 웹사이트 및 SNS</w:t>
      </w:r>
    </w:p>
    <w:p>
      <w:r>
        <w:br w:type="page"/>
      </w:r>
    </w:p>
    <w:p>
      <w:pPr>
        <w:spacing w:before="400" w:after="20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8"/>
          <w:u w:val="none"/>
        </w:rPr>
        <w:t>VI. 평가 및 개선 방안</w:t>
      </w:r>
    </w:p>
    <w:p>
      <w:pPr>
        <w:spacing w:before="280" w:after="12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4"/>
          <w:u w:val="none"/>
        </w:rPr>
        <w:t>1. 평가</w:t>
      </w:r>
    </w:p>
    <w:p>
      <w:pPr>
        <w:spacing w:before="200" w:after="8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2"/>
          <w:u w:val="none"/>
        </w:rPr>
        <w:t>1) 긍정 평가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20~30대 젊은 관객층의 높은 호응도 (전체의 66%)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SNS 바이럴을 통한 자연 유입 관객 증가 (인스타그램 릴스 조회수 합계 12만회)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언론 보도 총 15건 달성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연계 프로그램 참여율 높음 (평균 정원 대비 95% 참여)</w:t>
      </w:r>
    </w:p>
    <w:p>
      <w:pPr>
        <w:spacing w:before="200" w:after="8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2"/>
          <w:u w:val="none"/>
        </w:rPr>
        <w:t>2) 개선 방안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평일 관객 유입 확대 필요 (주말 대비 평일 관객 40% 수준)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외국인 관객 유치를 위한 다국어 안내 확대</w:t>
      </w:r>
    </w:p>
    <w:p>
      <w:pPr>
        <w:spacing w:before="40" w:after="40" w:line="336" w:lineRule="auto"/>
        <w:ind w:left="283"/>
        <w:jc w:val="left"/>
      </w:pPr>
      <w:r>
        <w:rPr>
          <w:rFonts w:ascii="Noto Sans" w:hAnsi="Noto Sans" w:eastAsia="Noto Sans CJK KR"/>
          <w:b/>
          <w:i w:val="0"/>
          <w:color w:val="000000"/>
          <w:sz w:val="20"/>
          <w:u w:val="none"/>
        </w:rPr>
        <w:t xml:space="preserve">● </w:t>
      </w:r>
      <w:r>
        <w:rPr>
          <w:rFonts w:ascii="Noto Sans" w:hAnsi="Noto Sans" w:eastAsia="Noto Sans CJK KR"/>
          <w:b w:val="0"/>
          <w:i w:val="0"/>
          <w:color w:val="000000"/>
          <w:sz w:val="20"/>
          <w:u w:val="none"/>
        </w:rPr>
        <w:t>전시 기간 중 중간 점검을 통한 홍보 전략 조정 필요</w:t>
      </w:r>
    </w:p>
    <w:p>
      <w:pPr>
        <w:spacing w:before="280" w:after="120" w:line="312" w:lineRule="auto"/>
        <w:jc w:val="left"/>
      </w:pPr>
      <w:r>
        <w:rPr>
          <w:rFonts w:ascii="Noto Sans" w:hAnsi="Noto Sans" w:eastAsia="Noto Sans CJK KR"/>
          <w:b/>
          <w:i w:val="0"/>
          <w:color w:val="000000"/>
          <w:sz w:val="24"/>
          <w:u w:val="none"/>
        </w:rPr>
        <w:t>2. 주요 관객 후기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701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분류</w:t>
            </w:r>
          </w:p>
        </w:tc>
        <w:tc>
          <w:tcPr>
            <w:tcW w:type="dxa" w:w="5102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상세 내용</w:t>
            </w:r>
          </w:p>
        </w:tc>
        <w:tc>
          <w:tcPr>
            <w:tcW w:type="dxa" w:w="2268"/>
            <w:shd w:fill="D9D9D9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/>
                <w:i w:val="0"/>
                <w:color w:val="000000"/>
                <w:sz w:val="18"/>
                <w:u w:val="none"/>
              </w:rPr>
              <w:t>출처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긍정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색채를 통한 감각적 경험이 인상적이었습니다.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방명록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긍정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작가와의 대화 프로그램에서 깊은 이야기를 들을 수 있었어요.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SNS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건의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안내 리플렛에 영문 설명이 있으면 좋겠습니다.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" w:hAnsi="Noto Sans" w:eastAsia="Noto Sans CJK KR"/>
                <w:b w:val="0"/>
                <w:i w:val="0"/>
                <w:color w:val="000000"/>
                <w:sz w:val="18"/>
                <w:u w:val="none"/>
              </w:rPr>
              <w:t>방명록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 w:eastAsia="Noto Sans CJK KR"/>
        <w:b w:val="0"/>
        <w:i w:val="0"/>
        <w:color w:val="666666"/>
        <w:sz w:val="18"/>
        <w:u w:val="non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