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algun Gothic"/>
          <w:b/>
          <w:color w:val="2E74B5"/>
          <w:sz w:val="18"/>
        </w:rPr>
        <w:t>MARITIMEOPS AI · VALIDATION RECORD</w:t>
      </w:r>
    </w:p>
    <w:p>
      <w:pPr>
        <w:spacing w:after="100"/>
      </w:pPr>
      <w:r>
        <w:rPr>
          <w:rFonts w:ascii="Calibri" w:hAnsi="Calibri" w:eastAsia="Malgun Gothic"/>
          <w:b/>
          <w:color w:val="0B2545"/>
          <w:sz w:val="48"/>
        </w:rPr>
        <w:t>RAG 검증 질문 목록</w:t>
      </w:r>
    </w:p>
    <w:p>
      <w:pPr>
        <w:spacing w:after="200"/>
      </w:pPr>
      <w:r>
        <w:rPr>
          <w:rFonts w:ascii="Calibri" w:hAnsi="Calibri" w:eastAsia="Malgun Gothic"/>
          <w:color w:val="667085"/>
          <w:sz w:val="25"/>
        </w:rPr>
        <w:t>서로 다른 PDF 150문항 + 표 질문 22문항</w:t>
      </w:r>
    </w:p>
    <w:p>
      <w:pPr>
        <w:spacing w:after="240"/>
      </w:pPr>
      <w:r>
        <w:rPr>
          <w:rFonts w:ascii="Calibri" w:hAnsi="Calibri" w:eastAsia="Malgun Gothic"/>
          <w:color w:val="667085"/>
          <w:sz w:val="19"/>
        </w:rPr>
        <w:t>총 172문항 · 작성일 2026-08-19 · 답변과 판정은 제외</w:t>
      </w:r>
    </w:p>
    <w:p>
      <w:pPr>
        <w:spacing w:after="240"/>
        <w:pBdr>
          <w:bottom w:val="single" w:sz="10" w:space="8" w:color="2E74B5"/>
        </w:pBdr>
      </w:pPr>
    </w:p>
    <w:p>
      <w:pPr>
        <w:pStyle w:val="NoteBody"/>
        <w:shd w:fill="F4F6F9"/>
        <w:pBdr>
          <w:left w:val="single" w:sz="14" w:space="8" w:color="2E74B5"/>
        </w:pBdr>
      </w:pPr>
      <w:r>
        <w:rPr>
          <w:rFonts w:ascii="Calibri" w:hAnsi="Calibri" w:eastAsia="Malgun Gothic"/>
          <w:color w:val="667085"/>
          <w:sz w:val="19"/>
        </w:rPr>
        <w:t>이 문서는 UI 사용자 검증용 질문만 수록합니다. 질문 ID는 상세 결과 문서와 동일합니다.</w:t>
      </w:r>
    </w:p>
    <w:p>
      <w:pPr>
        <w:pStyle w:val="Heading1"/>
      </w:pPr>
      <w:r>
        <w:t>1. 텍스트 PDF 질문 (150문항)</w:t>
      </w:r>
    </w:p>
    <w:p>
      <w:pPr>
        <w:pStyle w:val="Heading2"/>
      </w:pPr>
      <w:r>
        <w:t>DNV (60문항)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[BPDF-DNV-001] </w:t>
      </w:r>
      <w:r>
        <w:rPr>
          <w:rFonts w:ascii="Calibri" w:hAnsi="Calibri" w:eastAsia="Malgun Gothic"/>
          <w:color w:val="111111"/>
          <w:sz w:val="22"/>
        </w:rPr>
        <w:t>샤르피 V-노치 충격 시험 시, 2회 용접(two-run welded) 시험 조립품의 시험편은 어느 위치에서 절단해야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[BPDF-DNV-002] </w:t>
      </w:r>
      <w:r>
        <w:rPr>
          <w:rFonts w:ascii="Calibri" w:hAnsi="Calibri" w:eastAsia="Malgun Gothic"/>
          <w:color w:val="111111"/>
          <w:sz w:val="22"/>
        </w:rPr>
        <w:t>DNV 규정에 따라 선박 내 운용 경험이 부족한 제품에 대해 요구될 수 있는 환경 시험 항목에는 어떤 것들이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[BPDF-DNV-003] </w:t>
      </w:r>
      <w:r>
        <w:rPr>
          <w:rFonts w:ascii="Calibri" w:hAnsi="Calibri" w:eastAsia="Malgun Gothic"/>
          <w:color w:val="111111"/>
          <w:sz w:val="22"/>
        </w:rPr>
        <w:t>DNV 규정에 따라 VDR의 연례 성능 시험을 수행하는 서비스 공급자가 보유해야 하는 절차 및 체크리스트 항목에는 무엇이 포함되어야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[BPDF-DNV-004] </w:t>
      </w:r>
      <w:r>
        <w:rPr>
          <w:rFonts w:ascii="Calibri" w:hAnsi="Calibri" w:eastAsia="Malgun Gothic"/>
          <w:color w:val="111111"/>
          <w:sz w:val="22"/>
        </w:rPr>
        <w:t>DNV-CP-0399의 형식승인(TA)은 어떤 정격의 전력 케이블과 제어·계측 회로용 케이블에 적용되나요?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[BPDF-DNV-005] </w:t>
      </w:r>
      <w:r>
        <w:rPr>
          <w:rFonts w:ascii="Calibri" w:hAnsi="Calibri" w:eastAsia="Malgun Gothic"/>
          <w:color w:val="111111"/>
          <w:sz w:val="22"/>
        </w:rPr>
        <w:t>선상 측정 완료 후 최종 보고서를 제출해야 하는 기간은 언제까지이며, 해당 보고서에 포함되어야 하는 필수 정보는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[BPDF-DNV-006] </w:t>
      </w:r>
      <w:r>
        <w:rPr>
          <w:rFonts w:ascii="Calibri" w:hAnsi="Calibri" w:eastAsia="Malgun Gothic"/>
          <w:color w:val="111111"/>
          <w:sz w:val="22"/>
        </w:rPr>
        <w:t>강한 비 침식 하중이 작용하는 FRP 구조물 보호용 코팅의 형식 승인을 위해 제조사가 제출해야 하는 추가 문서 목록은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[BPDF-DNV-007] </w:t>
      </w:r>
      <w:r>
        <w:rPr>
          <w:rFonts w:ascii="Calibri" w:hAnsi="Calibri" w:eastAsia="Malgun Gothic"/>
          <w:color w:val="111111"/>
          <w:sz w:val="22"/>
        </w:rPr>
        <w:t>DNV 인증을 받기 위해 제조사가 제출해야 하는 서류와 수행해야 하는 절차는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[BPDF-DNV-008] </w:t>
      </w:r>
      <w:r>
        <w:rPr>
          <w:rFonts w:ascii="Calibri" w:hAnsi="Calibri" w:eastAsia="Malgun Gothic"/>
          <w:color w:val="111111"/>
          <w:sz w:val="22"/>
        </w:rPr>
        <w:t>소음 및 진동 측정 운영자가 갖추어야 할 자격 요건은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[BPDF-DNV-009] </w:t>
      </w:r>
      <w:r>
        <w:rPr>
          <w:rFonts w:ascii="Calibri" w:hAnsi="Calibri" w:eastAsia="Malgun Gothic"/>
          <w:color w:val="111111"/>
          <w:sz w:val="22"/>
        </w:rPr>
        <w:t>DNV 규정에 따라 소재(starting material) 제조 시 승인 보고서에 포함되어야 하는 기록이나 데이터에는 어떤 항목들이 포함되어야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[BPDF-DNV-010] </w:t>
      </w:r>
      <w:r>
        <w:rPr>
          <w:rFonts w:ascii="Calibri" w:hAnsi="Calibri" w:eastAsia="Malgun Gothic"/>
          <w:color w:val="111111"/>
          <w:sz w:val="22"/>
        </w:rPr>
        <w:t>DNV 규정에 따라 설치 후 테스트 시, 두 개의 독립적인 전원 중 하나로 간주되어 대체 전력을 제공하는 CGS는 어떤 조건에서 테스트되어야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[BPDF-DNV-011] </w:t>
      </w:r>
      <w:r>
        <w:rPr>
          <w:rFonts w:ascii="Calibri" w:hAnsi="Calibri" w:eastAsia="Malgun Gothic"/>
          <w:color w:val="111111"/>
          <w:sz w:val="22"/>
        </w:rPr>
        <w:t>선체 내부에서 수행하는 검사 시, 내측 접근이 불가능하여 추가 문서나 외부 조사가 필요한 항목에는 어떤 것들이 있는가?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[BPDF-DNV-012] </w:t>
      </w:r>
      <w:r>
        <w:rPr>
          <w:rFonts w:ascii="Calibri" w:hAnsi="Calibri" w:eastAsia="Malgun Gothic"/>
          <w:color w:val="111111"/>
          <w:sz w:val="22"/>
        </w:rPr>
        <w:t>높은 동적 응력 범위(high dynamic stress range)를 받는 볼트 연결부의 피로 손상을 줄이기 위한 예압(pre-load) 조건과 고려 사항은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[BPDF-DNV-013] </w:t>
      </w:r>
      <w:r>
        <w:rPr>
          <w:rFonts w:ascii="Calibri" w:hAnsi="Calibri" w:eastAsia="Malgun Gothic"/>
          <w:color w:val="111111"/>
          <w:sz w:val="22"/>
        </w:rPr>
        <w:t>SOLAS Ch.II-1 Reg.7-2.2에 따라 유체 평형이 60초 이하로 달성될 경우 중간 단계의 침수를 즉각적인 것으로 간주할 수 있는 공식 해석과 관련하여, 최근 논의가 되고 있는 두 가지 주요 이슈는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[BPDF-DNV-014] </w:t>
      </w:r>
      <w:r>
        <w:rPr>
          <w:rFonts w:ascii="Calibri" w:hAnsi="Calibri" w:eastAsia="Malgun Gothic"/>
          <w:color w:val="111111"/>
          <w:sz w:val="22"/>
        </w:rPr>
        <w:t>DNV에 제출하는 테스트 계획서(test plan)에는 어떤 내용들이 포함되어야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[BPDF-DNV-015] </w:t>
      </w:r>
      <w:r>
        <w:rPr>
          <w:rFonts w:ascii="Calibri" w:hAnsi="Calibri" w:eastAsia="Malgun Gothic"/>
          <w:color w:val="111111"/>
          <w:sz w:val="22"/>
        </w:rPr>
        <w:t>DNV-CP-0147 문서에 따르면, 점진적 커플링(progressive couplings)의 경우 선형 커플링보다 더 광범위한 시험이 필요한 이유는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[BPDF-DNV-016] </w:t>
      </w:r>
      <w:r>
        <w:rPr>
          <w:rFonts w:ascii="Calibri" w:hAnsi="Calibri" w:eastAsia="Malgun Gothic"/>
          <w:color w:val="111111"/>
          <w:sz w:val="22"/>
        </w:rPr>
        <w:t>DNV 규정에 따르면, 비상 시 개인용 장비(smoke hood, heat resistant gloves, source of light)를 반드시 grab bag에 넣어 보관해야 하는 요건이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[BPDF-DNV-017] </w:t>
      </w:r>
      <w:r>
        <w:rPr>
          <w:rFonts w:ascii="Calibri" w:hAnsi="Calibri" w:eastAsia="Malgun Gothic"/>
          <w:color w:val="111111"/>
          <w:sz w:val="22"/>
        </w:rPr>
        <w:t>선박의 최대 중간 흘수(maximum draught midship)를 계산하고 확인할 때 허용되지 않는 방식은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[BPDF-DNV-018] </w:t>
      </w:r>
      <w:r>
        <w:rPr>
          <w:rFonts w:ascii="Calibri" w:hAnsi="Calibri" w:eastAsia="Malgun Gothic"/>
          <w:color w:val="111111"/>
          <w:sz w:val="22"/>
        </w:rPr>
        <w:t>DNV 규정에 따라 선실 구역(accommodation area) 내의 객실에 설치해야 하는 화재 감지기 종류는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[BPDF-DNV-019] </w:t>
      </w:r>
      <w:r>
        <w:rPr>
          <w:rFonts w:ascii="Calibri" w:hAnsi="Calibri" w:eastAsia="Malgun Gothic"/>
          <w:color w:val="111111"/>
          <w:sz w:val="22"/>
        </w:rPr>
        <w:t>코일이 W 인증을 받은 상태로 언코일링 플랜트에 납품되었으나 최종 제품에 NV 인증이 필요한 경우, 어떤 절차와 비용 부담이 발생하나요?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[BPDF-DNV-020] </w:t>
      </w:r>
      <w:r>
        <w:rPr>
          <w:rFonts w:ascii="Calibri" w:hAnsi="Calibri" w:eastAsia="Malgun Gothic"/>
          <w:color w:val="111111"/>
          <w:sz w:val="22"/>
        </w:rPr>
        <w:t>크랭크샤프트의 피로 시험 전 품질 관리 절차에 따라 수행해야 하는 검사 항목은 무엇이며, 시편 준비 시 고려해야 할 기준은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[BPDF-DNV-021] </w:t>
      </w:r>
      <w:r>
        <w:rPr>
          <w:rFonts w:ascii="Calibri" w:hAnsi="Calibri" w:eastAsia="Malgun Gothic"/>
          <w:color w:val="111111"/>
          <w:sz w:val="22"/>
        </w:rPr>
        <w:t>DNV-OS-D203 B.DES.2에 따라 설계 문서에서 소프트웨어 구성 요소(software components)를 기술할 때 최소로 포함되어야 하는 항목들은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[BPDF-DNV-022] </w:t>
      </w:r>
      <w:r>
        <w:rPr>
          <w:rFonts w:ascii="Calibri" w:hAnsi="Calibri" w:eastAsia="Malgun Gothic"/>
          <w:color w:val="111111"/>
          <w:sz w:val="22"/>
        </w:rPr>
        <w:t>DNV-CP-0099 문서에 따르면, 탱크 지지용 경질목(hardwood)의 유형 승인(TA) 인증 시 제품 등급(grade)과 변형(variants)은 각각 어떻게 정의됩니까?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[BPDF-DNV-023] </w:t>
      </w:r>
      <w:r>
        <w:rPr>
          <w:rFonts w:ascii="Calibri" w:hAnsi="Calibri" w:eastAsia="Malgun Gothic"/>
          <w:color w:val="111111"/>
          <w:sz w:val="22"/>
        </w:rPr>
        <w:t>어떠한 조건의 평판 제품(flat products)에 대해 용접성 시험이 요구됩니까?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[BPDF-DNV-024] </w:t>
      </w:r>
      <w:r>
        <w:rPr>
          <w:rFonts w:ascii="Calibri" w:hAnsi="Calibri" w:eastAsia="Malgun Gothic"/>
          <w:color w:val="111111"/>
          <w:sz w:val="22"/>
        </w:rPr>
        <w:t>DNV-CP-0097 문서에 따르면, 샌드위치 플레이트 시스템(SPS)용 핵심 소재의 형식 승인(TA)을 위해 수행되는 유형 시험은 어떤 장소에서 실시될 수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[BPDF-DNV-025] </w:t>
      </w:r>
      <w:r>
        <w:rPr>
          <w:rFonts w:ascii="Calibri" w:hAnsi="Calibri" w:eastAsia="Malgun Gothic"/>
          <w:color w:val="111111"/>
          <w:sz w:val="22"/>
        </w:rPr>
        <w:t>에폭시 기반 시스템이 아니거나 IMO Resolution MSC.288(87)의 Table 1에 따른 방식이 아닌 대체 시스템을 승인받기 위한 최소한의 증빙 요건은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[BPDF-DNV-026] </w:t>
      </w:r>
      <w:r>
        <w:rPr>
          <w:rFonts w:ascii="Calibri" w:hAnsi="Calibri" w:eastAsia="Malgun Gothic"/>
          <w:color w:val="111111"/>
          <w:sz w:val="22"/>
        </w:rPr>
        <w:t>수동 또는 반자동 용접 공정에서 완전 자동화된 로봇 용접 공정으로 변경할 경우 어떤 절차가 필요한가요?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[BPDF-DNV-027] </w:t>
      </w:r>
      <w:r>
        <w:rPr>
          <w:rFonts w:ascii="Calibri" w:hAnsi="Calibri" w:eastAsia="Malgun Gothic"/>
          <w:color w:val="111111"/>
          <w:sz w:val="22"/>
        </w:rPr>
        <w:t>데이터 수집 인프라의 인증은 개별 구성 요소 단위로 수행할 수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[BPDF-DNV-028] </w:t>
      </w:r>
      <w:r>
        <w:rPr>
          <w:rFonts w:ascii="Calibri" w:hAnsi="Calibri" w:eastAsia="Malgun Gothic"/>
          <w:color w:val="111111"/>
          <w:sz w:val="22"/>
        </w:rPr>
        <w:t>선미관(stern tube) 밀봉 장치의 형식 승인(TA)을 위한 이 기술 지침의 적용 범위는 어디까지인가요?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[BPDF-DNV-029] </w:t>
      </w:r>
      <w:r>
        <w:rPr>
          <w:rFonts w:ascii="Calibri" w:hAnsi="Calibri" w:eastAsia="Malgun Gothic"/>
          <w:color w:val="111111"/>
          <w:sz w:val="22"/>
        </w:rPr>
        <w:t>DNV-CG-0158 문서에 따르면, 탱크 내부 압력을 측정하는 압력 센서의 감지 영역(sensing area)은 어떻게 배치되어야 하며, 보호 덮개 사용에 대한 제한 사항은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[BPDF-DNV-030] </w:t>
      </w:r>
      <w:r>
        <w:rPr>
          <w:rFonts w:ascii="Calibri" w:hAnsi="Calibri" w:eastAsia="Malgun Gothic"/>
          <w:color w:val="111111"/>
          <w:sz w:val="22"/>
        </w:rPr>
        <w:t>DNV-CG-0138 문서에 따르면, 횡방향 강도 평가(racking analysis) 시 적용 가능한 경계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[BPDF-DNV-031] </w:t>
      </w:r>
      <w:r>
        <w:rPr>
          <w:rFonts w:ascii="Calibri" w:hAnsi="Calibri" w:eastAsia="Malgun Gothic"/>
          <w:color w:val="111111"/>
          <w:sz w:val="22"/>
        </w:rPr>
        <w:t>DNV에서 요구하는 고정형 커플링 및 고무 보상기가 장착된 유연성 비금속 호스의 형식 승인(TA)을 위해 제출해야 하는 서류 목록은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[BPDF-DNV-032] </w:t>
      </w:r>
      <w:r>
        <w:rPr>
          <w:rFonts w:ascii="Calibri" w:hAnsi="Calibri" w:eastAsia="Malgun Gothic"/>
          <w:color w:val="111111"/>
          <w:sz w:val="22"/>
        </w:rPr>
        <w:t>DNV 규정에 따른 마모 시험 시, 윤활 방식에 따른 샤프트의 원주 속도(Circumferential velocity) 조건은 어떻게 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[BPDF-DNV-033] </w:t>
      </w:r>
      <w:r>
        <w:rPr>
          <w:rFonts w:ascii="Calibri" w:hAnsi="Calibri" w:eastAsia="Malgun Gothic"/>
          <w:color w:val="111111"/>
          <w:sz w:val="22"/>
        </w:rPr>
        <w:t>전통적인 유형의 C 가스 운반선(traditional type C gas carriers)과 표준 가스 운반선(standard gas carriers)에 대해 탱크 및 지지대 치수 산정 시 적용되는 설계 가속도(design accelerations)는 각각 어떻게 결정되나요?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[BPDF-DNV-034] </w:t>
      </w:r>
      <w:r>
        <w:rPr>
          <w:rFonts w:ascii="Calibri" w:hAnsi="Calibri" w:eastAsia="Malgun Gothic"/>
          <w:color w:val="111111"/>
          <w:sz w:val="22"/>
        </w:rPr>
        <w:t>측면 출입구(side scuttles) 및 창문의 유형 승인(TA) 인증 시, 서로 다른 프레임 구조나 개폐 방식이 적용된 경우 인증서 발급은 어떻게 처리되나요?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[BPDF-DNV-035] </w:t>
      </w:r>
      <w:r>
        <w:rPr>
          <w:rFonts w:ascii="Calibri" w:hAnsi="Calibri" w:eastAsia="Malgun Gothic"/>
          <w:color w:val="111111"/>
          <w:sz w:val="22"/>
        </w:rPr>
        <w:t>DNV-RU-SHIP-Pt6.pdf 문서에 따르면, CA 챔버 진입 전 가스 제거(gas freeing)가 완료되었는지 확인하기 위해 필요한 절차는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[BPDF-DNV-036] </w:t>
      </w:r>
      <w:r>
        <w:rPr>
          <w:rFonts w:ascii="Calibri" w:hAnsi="Calibri" w:eastAsia="Malgun Gothic"/>
          <w:color w:val="111111"/>
          <w:sz w:val="22"/>
        </w:rPr>
        <w:t>압력용기 설계 시 구형 쉘의 편평도(out-of-roundness)를 고려할 때, 계산에 반영되는 국부 곡률 반경과 허용되는 최대 편평도의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[BPDF-DNV-037] </w:t>
      </w:r>
      <w:r>
        <w:rPr>
          <w:rFonts w:ascii="Calibri" w:hAnsi="Calibri" w:eastAsia="Malgun Gothic"/>
          <w:color w:val="111111"/>
          <w:sz w:val="22"/>
        </w:rPr>
        <w:t>DNV-CP-0350은 어떤 압력용기 부품 제조사의 승인에 적용되며, 함께 적용해야 하는 일반 요구사항 문서는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[BPDF-DNV-038] </w:t>
      </w:r>
      <w:r>
        <w:rPr>
          <w:rFonts w:ascii="Calibri" w:hAnsi="Calibri" w:eastAsia="Malgun Gothic"/>
          <w:color w:val="111111"/>
          <w:sz w:val="22"/>
        </w:rPr>
        <w:t>DNV에서 수행하는 SCR 시스템 형식 시험(type test)을 시작하기 전에 제출해야 하는 서류 항목은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[BPDF-DNV-039] </w:t>
      </w:r>
      <w:r>
        <w:rPr>
          <w:rFonts w:ascii="Calibri" w:hAnsi="Calibri" w:eastAsia="Malgun Gothic"/>
          <w:color w:val="111111"/>
          <w:sz w:val="22"/>
        </w:rPr>
        <w:t>주 추진 및 필수 보조 장치용 클러치의 형식 승인(TA) 시, 어떤 경우에 일반적인 요구사항과 다른 시험 절차를 적용받을 수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[BPDF-DNV-040] </w:t>
      </w:r>
      <w:r>
        <w:rPr>
          <w:rFonts w:ascii="Calibri" w:hAnsi="Calibri" w:eastAsia="Malgun Gothic"/>
          <w:color w:val="111111"/>
          <w:sz w:val="22"/>
        </w:rPr>
        <w:t>해상 LAN 수평 배선 구리 영구 링크에 대한 형식 승인(TA) 인증을 획득할 때, 해당 인증이 다른 규칙의 요구사항까지 준수함을 보증하는지 설명해주세요.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[BPDF-DNV-041] </w:t>
      </w:r>
      <w:r>
        <w:rPr>
          <w:rFonts w:ascii="Calibri" w:hAnsi="Calibri" w:eastAsia="Malgun Gothic"/>
          <w:color w:val="111111"/>
          <w:sz w:val="22"/>
        </w:rPr>
        <w:t>DNV-SI-0289 문서에서 제시하는 해석(interpretations)은 어떤 상황에서 제공되나요?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[BPDF-DNV-042] </w:t>
      </w:r>
      <w:r>
        <w:rPr>
          <w:rFonts w:ascii="Calibri" w:hAnsi="Calibri" w:eastAsia="Malgun Gothic"/>
          <w:color w:val="111111"/>
          <w:sz w:val="22"/>
        </w:rPr>
        <w:t>배터리 시스템의 용량이 한 공간 내에서 25MWh를 초과하는 경우, 추가적인 방화벽 설치 대신 적용할 수 있는 대안은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[BPDF-DNV-043] </w:t>
      </w:r>
      <w:r>
        <w:rPr>
          <w:rFonts w:ascii="Calibri" w:hAnsi="Calibri" w:eastAsia="Malgun Gothic"/>
          <w:color w:val="111111"/>
          <w:sz w:val="22"/>
        </w:rPr>
        <w:t>DNV-CP-0407 문서에서 규정하는 케이블 타이(cable ties)의 형식승인(TA) 절차와 요구사항은 무엇을 다루고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[BPDF-DNV-044] </w:t>
      </w:r>
      <w:r>
        <w:rPr>
          <w:rFonts w:ascii="Calibri" w:hAnsi="Calibri" w:eastAsia="Malgun Gothic"/>
          <w:color w:val="111111"/>
          <w:sz w:val="22"/>
        </w:rPr>
        <w:t>DNV 규정에 따라 정밀한 분석을 대신하여 무거운 부품(heavy parts)의 해상 운송 조건 설계 하중을 산정할 때 적용되는 힘의 기준은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[BPDF-DNV-045] </w:t>
      </w:r>
      <w:r>
        <w:rPr>
          <w:rFonts w:ascii="Calibri" w:hAnsi="Calibri" w:eastAsia="Malgun Gothic"/>
          <w:color w:val="111111"/>
          <w:sz w:val="22"/>
        </w:rPr>
        <w:t>DNV의 DRILL 인증을 위해 승인되어야 하는 시추 설비(drilling plant)의 구성 요소에는 무엇이 포함됩니까?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[BPDF-DNV-046] </w:t>
      </w:r>
      <w:r>
        <w:rPr>
          <w:rFonts w:ascii="Calibri" w:hAnsi="Calibri" w:eastAsia="Malgun Gothic"/>
          <w:color w:val="111111"/>
          <w:sz w:val="22"/>
        </w:rPr>
        <w:t>DNV 규정에 따라 충격 시험이 요구되지 않는 강종에 대해 두께가 10mm 이상인 제품의 경우 어떤 시험을 수행해야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[BPDF-DNV-047] </w:t>
      </w:r>
      <w:r>
        <w:rPr>
          <w:rFonts w:ascii="Calibri" w:hAnsi="Calibri" w:eastAsia="Malgun Gothic"/>
          <w:color w:val="111111"/>
          <w:sz w:val="22"/>
        </w:rPr>
        <w:t>선박평형수처리장치(BWMS)의 생물학적 효능 및 독성 시험은 어떤 시설에서 수행되어야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[BPDF-DNV-048] </w:t>
      </w:r>
      <w:r>
        <w:rPr>
          <w:rFonts w:ascii="Calibri" w:hAnsi="Calibri" w:eastAsia="Malgun Gothic"/>
          <w:color w:val="111111"/>
          <w:sz w:val="22"/>
        </w:rPr>
        <w:t>DNV-RU-SHIP-Pt2 문서에 따르면, 고망간 오스테나이트강(High manganese austenitic steels)의 경우 열처리 없이 허용되는 냉간 성형 비율은 얼마입니까?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[BPDF-DNV-049] </w:t>
      </w:r>
      <w:r>
        <w:rPr>
          <w:rFonts w:ascii="Calibri" w:hAnsi="Calibri" w:eastAsia="Malgun Gothic"/>
          <w:color w:val="111111"/>
          <w:sz w:val="22"/>
        </w:rPr>
        <w:t>DNV-CP-0406이 정한 열수축성 튜브 형식승인의 목적과 절차 범위는 무엇이며, 제품 설계요건 자체도 정하나요?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[BPDF-DNV-050] </w:t>
      </w:r>
      <w:r>
        <w:rPr>
          <w:rFonts w:ascii="Calibri" w:hAnsi="Calibri" w:eastAsia="Malgun Gothic"/>
          <w:color w:val="111111"/>
          <w:sz w:val="22"/>
        </w:rPr>
        <w:t>DNV의 마모 저항성 코팅(abrasion resistant coatings)에 대한 기술 승인(TA) 시, 제품의 등급(Grade)과 변형(Variant)은 각각 어떻게 정의됩니까?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[BPDF-DNV-051] </w:t>
      </w:r>
      <w:r>
        <w:rPr>
          <w:rFonts w:ascii="Calibri" w:hAnsi="Calibri" w:eastAsia="Malgun Gothic"/>
          <w:color w:val="111111"/>
          <w:sz w:val="22"/>
        </w:rPr>
        <w:t>DNV 규정에 따라 RSCS+ 추가 선급 표기(notation)를 부여받은 선박의 경우, 횡방향 무차원 가속도 계수인 bq는 어떻게 조정됩니까?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[BPDF-DNV-052] </w:t>
      </w:r>
      <w:r>
        <w:rPr>
          <w:rFonts w:ascii="Calibri" w:hAnsi="Calibri" w:eastAsia="Malgun Gothic"/>
          <w:color w:val="111111"/>
          <w:sz w:val="22"/>
        </w:rPr>
        <w:t>DNV-CP-0638 문서에 따르면, IHM 유지관리 매뉴얼(maintenance manual)이 최소한 포함해야 하는 정보는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[BPDF-DNV-053] </w:t>
      </w:r>
      <w:r>
        <w:rPr>
          <w:rFonts w:ascii="Calibri" w:hAnsi="Calibri" w:eastAsia="Malgun Gothic"/>
          <w:color w:val="111111"/>
          <w:sz w:val="22"/>
        </w:rPr>
        <w:t>DNV 규정에 따라 수직 지지대(vertical supports)를 모델링할 때, 인장 상태에 있는 연결 요소의 처리 방식은 어떻게 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[BPDF-DNV-054] </w:t>
      </w:r>
      <w:r>
        <w:rPr>
          <w:rFonts w:ascii="Calibri" w:hAnsi="Calibri" w:eastAsia="Malgun Gothic"/>
          <w:color w:val="111111"/>
          <w:sz w:val="22"/>
        </w:rPr>
        <w:t>DNV-CP-0409에 따라 저압 전력 케이블용 알루미늄 도체 터미널 러그의 타입 승인(TA)을 받을 수 있는 단면적 범위는 어떻게 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[BPDF-DNV-055] </w:t>
      </w:r>
      <w:r>
        <w:rPr>
          <w:rFonts w:ascii="Calibri" w:hAnsi="Calibri" w:eastAsia="Malgun Gothic"/>
          <w:color w:val="111111"/>
          <w:sz w:val="22"/>
        </w:rPr>
        <w:t>샌드위치 코어 재료의 형식 승인(TA)을 위해 제조사가 제출해야 하는 필수 문서 목록에는 어떤 항목들이 포함되는가?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[BPDF-DNV-056] </w:t>
      </w:r>
      <w:r>
        <w:rPr>
          <w:rFonts w:ascii="Calibri" w:hAnsi="Calibri" w:eastAsia="Malgun Gothic"/>
          <w:color w:val="111111"/>
          <w:sz w:val="22"/>
        </w:rPr>
        <w:t>와이어 인발용 바(bar)에 사용되는 강재의 결정립 크기 요건과 미세 결정립(fine grain)으로 인정받기 위한 알루미늄(Al), 니오븀(Nb), 바나듐(V) 등의 함량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[BPDF-DNV-057] </w:t>
      </w:r>
      <w:r>
        <w:rPr>
          <w:rFonts w:ascii="Calibri" w:hAnsi="Calibri" w:eastAsia="Malgun Gothic"/>
          <w:color w:val="111111"/>
          <w:sz w:val="22"/>
        </w:rPr>
        <w:t>DNV-RU-YACHT-Pt5의 서비스 문서 이용조건에 따르면 제3자의 인증·검증 서비스 제공 제한과 DNV의 책임 한도는 어떻게 규정되나요?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[BPDF-DNV-058] </w:t>
      </w:r>
      <w:r>
        <w:rPr>
          <w:rFonts w:ascii="Calibri" w:hAnsi="Calibri" w:eastAsia="Malgun Gothic"/>
          <w:color w:val="111111"/>
          <w:sz w:val="22"/>
        </w:rPr>
        <w:t>DNV 규정에 따라 테스트 시설이 BWMS 시험 기간 동안 기록해야 하는 항목은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[BPDF-DNV-059] </w:t>
      </w:r>
      <w:r>
        <w:rPr>
          <w:rFonts w:ascii="Calibri" w:hAnsi="Calibri" w:eastAsia="Malgun Gothic"/>
          <w:color w:val="111111"/>
          <w:sz w:val="22"/>
        </w:rPr>
        <w:t>동적 시험 시 강성(K)과 상대 감쇠(ψ)를 평가할 때 고려해야 하는 변수들은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[BPDF-DNV-060] </w:t>
      </w:r>
      <w:r>
        <w:rPr>
          <w:rFonts w:ascii="Calibri" w:hAnsi="Calibri" w:eastAsia="Malgun Gothic"/>
          <w:color w:val="111111"/>
          <w:sz w:val="22"/>
        </w:rPr>
        <w:t>DNV-CP-0405의 케이블용 화재 보호 시스템 형식승인 절차가 적용되지 않는 별도 인증은 무엇인가요?</w:t>
      </w:r>
    </w:p>
    <w:p>
      <w:pPr>
        <w:pStyle w:val="Heading2"/>
      </w:pPr>
      <w:r>
        <w:t>MEPC (40문항)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[BPDF-MEPC-001] </w:t>
      </w:r>
      <w:r>
        <w:rPr>
          <w:rFonts w:ascii="Calibri" w:hAnsi="Calibri" w:eastAsia="Malgun Gothic"/>
          <w:color w:val="111111"/>
          <w:sz w:val="22"/>
        </w:rPr>
        <w:t>MEPC 회의자료에 따르면, 캘리포니아만(GoC) 내 LNG 운반선 통행 증가로 인해 발생할 수 있는 해양 환경 영향은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[BPDF-MEPC-002] </w:t>
      </w:r>
      <w:r>
        <w:rPr>
          <w:rFonts w:ascii="Calibri" w:hAnsi="Calibri" w:eastAsia="Malgun Gothic"/>
          <w:color w:val="111111"/>
          <w:sz w:val="22"/>
        </w:rPr>
        <w:t>MEPC 84/2/3 관련 문서에서 'to the satisfaction of the Administration' 조항의 이행 지침 개발을 위한 후속 일정은 어떻게 결정되었습니까?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[BPDF-MEPC-003] </w:t>
      </w:r>
      <w:r>
        <w:rPr>
          <w:rFonts w:ascii="Calibri" w:hAnsi="Calibri" w:eastAsia="Malgun Gothic"/>
          <w:color w:val="111111"/>
          <w:sz w:val="22"/>
        </w:rPr>
        <w:t>MEPC 회의자료에 따르면, 수중 방사 소음(URN) 저감 조치의 효과에 영향을 미치는 요인들에 대한 이해관계자의 관점은 어떻게 반영되어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[BPDF-MEPC-004] </w:t>
      </w:r>
      <w:r>
        <w:rPr>
          <w:rFonts w:ascii="Calibri" w:hAnsi="Calibri" w:eastAsia="Malgun Gothic"/>
          <w:color w:val="111111"/>
          <w:sz w:val="22"/>
        </w:rPr>
        <w:t>MEPC 회의자료에 따르면, 2026년에 발행될 예정인 해양 플라스틱 쓰레기 관련 자료에는 어떤 것들이 포함되어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[BPDF-MEPC-005] </w:t>
      </w:r>
      <w:r>
        <w:rPr>
          <w:rFonts w:ascii="Calibri" w:hAnsi="Calibri" w:eastAsia="Malgun Gothic"/>
          <w:color w:val="111111"/>
          <w:sz w:val="22"/>
        </w:rPr>
        <w:t>MEPC 회의자료에 따르면, Prep Comm III는 언제 개최될 예정인가요?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[BPDF-MEPC-006] </w:t>
      </w:r>
      <w:r>
        <w:rPr>
          <w:rFonts w:ascii="Calibri" w:hAnsi="Calibri" w:eastAsia="Malgun Gothic"/>
          <w:color w:val="111111"/>
          <w:sz w:val="22"/>
        </w:rPr>
        <w:t>MEPC 회의자료에 따르면, 홍콩 협약 및 바젤 협약의 이행과 관련하여 당사자 및 참관인이 의견을 제출해야 하는 마감일은 언제인가요?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[BPDF-MEPC-007] </w:t>
      </w:r>
      <w:r>
        <w:rPr>
          <w:rFonts w:ascii="Calibri" w:hAnsi="Calibri" w:eastAsia="Malgun Gothic"/>
          <w:color w:val="111111"/>
          <w:sz w:val="22"/>
        </w:rPr>
        <w:t>MEPC 회의자료에 따르면, 4월 30일 메인 홀(Main Hall)에서 진행된 세션 중 'Uniting Efforts for a Quieter Ocean' 발표를 주최한 국가나 단체는 어디인가요?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[BPDF-MEPC-008] </w:t>
      </w:r>
      <w:r>
        <w:rPr>
          <w:rFonts w:ascii="Calibri" w:hAnsi="Calibri" w:eastAsia="Malgun Gothic"/>
          <w:color w:val="111111"/>
          <w:sz w:val="22"/>
        </w:rPr>
        <w:t>MEPC 회의자료에 따르면, 화석 LNG(fossil LNG)의 기본 WtT 배출 계수를 설정할 때 고려해야 하는 기준과 접근 방식은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[BPDF-MEPC-009] </w:t>
      </w:r>
      <w:r>
        <w:rPr>
          <w:rFonts w:ascii="Calibri" w:hAnsi="Calibri" w:eastAsia="Malgun Gothic"/>
          <w:color w:val="111111"/>
          <w:sz w:val="22"/>
        </w:rPr>
        <w:t>MEPC 84-7-23 문서에서 제안하는 LNG Otto(dual fuel medium speed) 에너지 변환기의 TtW Cslip 기본 배출 계수 개정은 어떤 연구 결과에 기반하고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[BPDF-MEPC-010] </w:t>
      </w:r>
      <w:r>
        <w:rPr>
          <w:rFonts w:ascii="Calibri" w:hAnsi="Calibri" w:eastAsia="Malgun Gothic"/>
          <w:color w:val="111111"/>
          <w:sz w:val="22"/>
        </w:rPr>
        <w:t>MEPC 회의자료에 따르면, EVER TOP에서 하역된 CO2는 최종적으로 어떤 용도로 활용되었습니까?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[BPDF-MEPC-011] </w:t>
      </w:r>
      <w:r>
        <w:rPr>
          <w:rFonts w:ascii="Calibri" w:hAnsi="Calibri" w:eastAsia="Malgun Gothic"/>
          <w:color w:val="111111"/>
          <w:sz w:val="22"/>
        </w:rPr>
        <w:t>MEPC 84/3 문서에 포함된 MARPOL 부속서 VI의 북동 대서양 배출통제구역(North-East Atlantic ECA) 관련 개정안은 어떤 회의에서 승인되었습니까?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[BPDF-MEPC-012] </w:t>
      </w:r>
      <w:r>
        <w:rPr>
          <w:rFonts w:ascii="Calibri" w:hAnsi="Calibri" w:eastAsia="Malgun Gothic"/>
          <w:color w:val="111111"/>
          <w:sz w:val="22"/>
        </w:rPr>
        <w:t>MEPC 회의자료에 따르면, INTERTANKO가 수집한 항구별 수질 관련 데이터베이스에는 어떤 구체적인 정보들이 포함되어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[BPDF-MEPC-013] </w:t>
      </w:r>
      <w:r>
        <w:rPr>
          <w:rFonts w:ascii="Calibri" w:hAnsi="Calibri" w:eastAsia="Malgun Gothic"/>
          <w:color w:val="111111"/>
          <w:sz w:val="22"/>
        </w:rPr>
        <w:t>MEPC 회의자료에 따르면, RenovaCalc에서 사탕수수 운송 과정의 배출량을 산정하고 재할당하기 위해 채택된 절차는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[BPDF-MEPC-014] </w:t>
      </w:r>
      <w:r>
        <w:rPr>
          <w:rFonts w:ascii="Calibri" w:hAnsi="Calibri" w:eastAsia="Malgun Gothic"/>
          <w:color w:val="111111"/>
          <w:sz w:val="22"/>
        </w:rPr>
        <w:t>MEPC 회의자료에 따르면, 바이오 연료 혼합물(biofuel blends)의 탄소 전환계수(Cf)를 계산할 때 기존 MEPC.1/Circ.905 방식 대신 채택해야 하는 산출 원칙은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[BPDF-MEPC-015] </w:t>
      </w:r>
      <w:r>
        <w:rPr>
          <w:rFonts w:ascii="Calibri" w:hAnsi="Calibri" w:eastAsia="Malgun Gothic"/>
          <w:color w:val="111111"/>
          <w:sz w:val="22"/>
        </w:rPr>
        <w:t>MEPC 84-14-1 문서에 명시된 행정 요구사항(administrative requirement)의 정의는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[BPDF-MEPC-016] </w:t>
      </w:r>
      <w:r>
        <w:rPr>
          <w:rFonts w:ascii="Calibri" w:hAnsi="Calibri" w:eastAsia="Malgun Gothic"/>
          <w:color w:val="111111"/>
          <w:sz w:val="22"/>
        </w:rPr>
        <w:t>MEPC 회의자료에 따르면, IMO 선박 연료 소비 데이터베이스 관리 지침에서 권한을 부여받은 조직(RO)이 관련 데이터에 접근할 수 있도록 하기 위해 IACS가 제안한 수정 사항은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[BPDF-MEPC-017] </w:t>
      </w:r>
      <w:r>
        <w:rPr>
          <w:rFonts w:ascii="Calibri" w:hAnsi="Calibri" w:eastAsia="Malgun Gothic"/>
          <w:color w:val="111111"/>
          <w:sz w:val="22"/>
        </w:rPr>
        <w:t>MEPC 회의자료에 따르면, 러시아 연방이 환경 보호를 위해 이미 활용하고 있는 MASS 기술은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[BPDF-MEPC-018] </w:t>
      </w:r>
      <w:r>
        <w:rPr>
          <w:rFonts w:ascii="Calibri" w:hAnsi="Calibri" w:eastAsia="Malgun Gothic"/>
          <w:color w:val="111111"/>
          <w:sz w:val="22"/>
        </w:rPr>
        <w:t>MEPC 회의자료에 따르면, LNG_b_AD_gm 경로에서 사용된 3.5%의 메탄 슬립(methane slip) 수치는 현재 어떤 상태로 간주됩니까?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[BPDF-MEPC-019] </w:t>
      </w:r>
      <w:r>
        <w:rPr>
          <w:rFonts w:ascii="Calibri" w:hAnsi="Calibri" w:eastAsia="Malgun Gothic"/>
          <w:color w:val="111111"/>
          <w:sz w:val="22"/>
        </w:rPr>
        <w:t>MEPC.1/Circ.916에 따라 제출된 LNG 연료 경로의 well-to-tank(WtT) GHG 배출 계수 제안서에는 어떤 정보가 포함되어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[BPDF-MEPC-020] </w:t>
      </w:r>
      <w:r>
        <w:rPr>
          <w:rFonts w:ascii="Calibri" w:hAnsi="Calibri" w:eastAsia="Malgun Gothic"/>
          <w:color w:val="111111"/>
          <w:sz w:val="22"/>
        </w:rPr>
        <w:t>MEPC 회의자료에 따르면, ICS CII 데이터 수집 시스템(ICS CII Data Collection System)에 제출된 데이터의 표본 크기는 어떠하며 그로 인한 정확도는 어떻게 평가됩니까?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[BPDF-MEPC-021] </w:t>
      </w:r>
      <w:r>
        <w:rPr>
          <w:rFonts w:ascii="Calibri" w:hAnsi="Calibri" w:eastAsia="Malgun Gothic"/>
          <w:color w:val="111111"/>
          <w:sz w:val="22"/>
        </w:rPr>
        <w:t>MEPC 84-J-5 문서에서 관련 이슈들을 구조화된 방식으로 검토하기 위해 문서를 그룹화하는 목적은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[BPDF-MEPC-022] </w:t>
      </w:r>
      <w:r>
        <w:rPr>
          <w:rFonts w:ascii="Calibri" w:hAnsi="Calibri" w:eastAsia="Malgun Gothic"/>
          <w:color w:val="111111"/>
          <w:sz w:val="22"/>
        </w:rPr>
        <w:t>MEPC 84-INF.19 문서에 명시된 inTank BWTS의 살균제(biocide) 공급 방식은 어떻게 구분됩니까?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[BPDF-MEPC-023] </w:t>
      </w:r>
      <w:r>
        <w:rPr>
          <w:rFonts w:ascii="Calibri" w:hAnsi="Calibri" w:eastAsia="Malgun Gothic"/>
          <w:color w:val="111111"/>
          <w:sz w:val="22"/>
        </w:rPr>
        <w:t>MEPC 84-8-1 문서에 따르면, 해상 기반의 플라스틱 폐기물 유입에 대한 글로벌 평가를 단일 연구로 수행하는 것이 가능한가요?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[BPDF-MEPC-024] </w:t>
      </w:r>
      <w:r>
        <w:rPr>
          <w:rFonts w:ascii="Calibri" w:hAnsi="Calibri" w:eastAsia="Malgun Gothic"/>
          <w:color w:val="111111"/>
          <w:sz w:val="22"/>
        </w:rPr>
        <w:t>MEPC 회의자료에 따르면, 2024년 보고 기간 동안 일부 선박이 CII 데이터를 보고하지 않은 구체적인 사유들은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[BPDF-MEPC-025] </w:t>
      </w:r>
      <w:r>
        <w:rPr>
          <w:rFonts w:ascii="Calibri" w:hAnsi="Calibri" w:eastAsia="Malgun Gothic"/>
          <w:color w:val="111111"/>
          <w:sz w:val="22"/>
        </w:rPr>
        <w:t>MEPC 회의자료에 따르면, 기존 형식승인을 받은 평형수 관리 시스템(BWMS)의 주요 구성 요소가 포함된 수정 사항이 발생했을 때 당국은 어떻게 조치해야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[BPDF-MEPC-026] </w:t>
      </w:r>
      <w:r>
        <w:rPr>
          <w:rFonts w:ascii="Calibri" w:hAnsi="Calibri" w:eastAsia="Malgun Gothic"/>
          <w:color w:val="111111"/>
          <w:sz w:val="22"/>
        </w:rPr>
        <w:t>MEPC 회의자료에 따르면, 2024년에 기록된 대기 중 CO2 농도는 얼마이며 전 산업화 이전 수준과 비교했을 때 어느 정도 증가했습니까?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[BPDF-MEPC-027] </w:t>
      </w:r>
      <w:r>
        <w:rPr>
          <w:rFonts w:ascii="Calibri" w:hAnsi="Calibri" w:eastAsia="Malgun Gothic"/>
          <w:color w:val="111111"/>
          <w:sz w:val="22"/>
        </w:rPr>
        <w:t>MEPC 회의자료에 따르면, LNG 운반선의 초기 준수 결과가 상류(upstream) 가정치에 크게 영향을 받는 이유는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[BPDF-MEPC-028] </w:t>
      </w:r>
      <w:r>
        <w:rPr>
          <w:rFonts w:ascii="Calibri" w:hAnsi="Calibri" w:eastAsia="Malgun Gothic"/>
          <w:color w:val="111111"/>
          <w:sz w:val="22"/>
        </w:rPr>
        <w:t>MEPC 회의자료에 따르면, 크루즈 여객선(cruise passenger ships)을 위한 cgHRS 지표 개발은 어느 단계까지 진행되었으며 어떤 목표를 포함하고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[BPDF-MEPC-029] </w:t>
      </w:r>
      <w:r>
        <w:rPr>
          <w:rFonts w:ascii="Calibri" w:hAnsi="Calibri" w:eastAsia="Malgun Gothic"/>
          <w:color w:val="111111"/>
          <w:sz w:val="22"/>
        </w:rPr>
        <w:t>MEPC 회의자료에 따르면, 선박의 평형수 관리 시스템(ballast water management system)에 대한 갱신 검사(renewal survey)는 최대 몇 년의 간격으로 수행되어야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[BPDF-MEPC-030] </w:t>
      </w:r>
      <w:r>
        <w:rPr>
          <w:rFonts w:ascii="Calibri" w:hAnsi="Calibri" w:eastAsia="Malgun Gothic"/>
          <w:color w:val="111111"/>
          <w:sz w:val="22"/>
        </w:rPr>
        <w:t>MEPC 회의자료에 따르면, 현재 Ballast Water Record Book(BWRB) 기록 시 최종 총량(final total quantity)을 산정하는 방식과 관련하여 어떤 문제점이 발생하고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[BPDF-MEPC-031] </w:t>
      </w:r>
      <w:r>
        <w:rPr>
          <w:rFonts w:ascii="Calibri" w:hAnsi="Calibri" w:eastAsia="Malgun Gothic"/>
          <w:color w:val="111111"/>
          <w:sz w:val="22"/>
        </w:rPr>
        <w:t>MEPC 84-6-2 문서에 따르면, 2019년 대비 2024년 전체 선단의 공급 기반 탄소 집약도(supply-based carbon intensity)는 어느 정도 감소했습니까?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[BPDF-MEPC-032] </w:t>
      </w:r>
      <w:r>
        <w:rPr>
          <w:rFonts w:ascii="Calibri" w:hAnsi="Calibri" w:eastAsia="Malgun Gothic"/>
          <w:color w:val="111111"/>
          <w:sz w:val="22"/>
        </w:rPr>
        <w:t>MEPC 84-4-10 문서에 따르면, 대형 원양 항해 선박이 부적절한 항구 기반 처리 시설을 필수적인 비상 조치로 간주하지 않도록 하기 위해 제안된 수정 사항은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[BPDF-MEPC-033] </w:t>
      </w:r>
      <w:r>
        <w:rPr>
          <w:rFonts w:ascii="Calibri" w:hAnsi="Calibri" w:eastAsia="Malgun Gothic"/>
          <w:color w:val="111111"/>
          <w:sz w:val="22"/>
        </w:rPr>
        <w:t>MEPC 회의자료에 따르면, BBNJ 협정 당사자들이 2026-2027년 기간 동안 IMO와 관련한 협의 및 조정 의무를 이행할 수 있도록 마련되어야 하는 내부 메커니즘은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[BPDF-MEPC-034] </w:t>
      </w:r>
      <w:r>
        <w:rPr>
          <w:rFonts w:ascii="Calibri" w:hAnsi="Calibri" w:eastAsia="Malgun Gothic"/>
          <w:color w:val="111111"/>
          <w:sz w:val="22"/>
        </w:rPr>
        <w:t>MEPC 회의자료에 따르면, 선박이 3년 연속 D 등급을 받거나 E 등급으로 평가된 경우 Statement of Compliance를 발급받기 위한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[BPDF-MEPC-035] </w:t>
      </w:r>
      <w:r>
        <w:rPr>
          <w:rFonts w:ascii="Calibri" w:hAnsi="Calibri" w:eastAsia="Malgun Gothic"/>
          <w:color w:val="111111"/>
          <w:sz w:val="22"/>
        </w:rPr>
        <w:t>MEPC 회의자료에 따르면, 2026년부터 도입되는 IMO DCS의 강화된 데이터 수집 항목 중 '총 운송 작업(total transport work)' 데이터가 CII 계산에 즉시 적용되는지 여부는 어떻게 결정되었습니까?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[BPDF-MEPC-036] </w:t>
      </w:r>
      <w:r>
        <w:rPr>
          <w:rFonts w:ascii="Calibri" w:hAnsi="Calibri" w:eastAsia="Malgun Gothic"/>
          <w:color w:val="111111"/>
          <w:sz w:val="22"/>
        </w:rPr>
        <w:t>MEPC 회의자료에 따르면, 서아프리카 경제통화연합(WAEMU)이 제출한 IMO와의 협력 요청에 대해 Council과 Assembly는 어떤 결정을 내렸습니까?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[BPDF-MEPC-037] </w:t>
      </w:r>
      <w:r>
        <w:rPr>
          <w:rFonts w:ascii="Calibri" w:hAnsi="Calibri" w:eastAsia="Malgun Gothic"/>
          <w:color w:val="111111"/>
          <w:sz w:val="22"/>
        </w:rPr>
        <w:t>MEPC 84-12-2 문서에 따르면, Reserva Nacional Dorsal de Nasca(RNDN)가 PSSA로 지정된 주요 근거는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[BPDF-MEPC-038] </w:t>
      </w:r>
      <w:r>
        <w:rPr>
          <w:rFonts w:ascii="Calibri" w:hAnsi="Calibri" w:eastAsia="Malgun Gothic"/>
          <w:color w:val="111111"/>
          <w:sz w:val="22"/>
        </w:rPr>
        <w:t>MEPC 회의자료에 따르면, 브라질 중간 재배 옥수수(intermediate crop corn) 기반 에탄올이 기존 1세대 에탄올 경로와 구별되는 환경적 특성을 갖는 이유는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[BPDF-MEPC-039] </w:t>
      </w:r>
      <w:r>
        <w:rPr>
          <w:rFonts w:ascii="Calibri" w:hAnsi="Calibri" w:eastAsia="Malgun Gothic"/>
          <w:color w:val="111111"/>
          <w:sz w:val="22"/>
        </w:rPr>
        <w:t>MEPC 회의자료에 따르면, SEEMP를 개정함으로써 강화되는 규제 집행(regulatory enforcement)의 두 가지 핵심 요소는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[BPDF-MEPC-040] </w:t>
      </w:r>
      <w:r>
        <w:rPr>
          <w:rFonts w:ascii="Calibri" w:hAnsi="Calibri" w:eastAsia="Malgun Gothic"/>
          <w:color w:val="111111"/>
          <w:sz w:val="22"/>
        </w:rPr>
        <w:t>MEPC 회의자료에 따르면, 상업적 비밀 정보(commercial-in-confidence information)를 보호하기 위해 회원국이 데이터를 IMO에 제출하기 전에 취할 수 있는 조치는 무엇입니까?</w:t>
      </w:r>
    </w:p>
    <w:p>
      <w:pPr>
        <w:pStyle w:val="Heading2"/>
      </w:pPr>
      <w:r>
        <w:t>MSC (22문항)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[BPDF-MSC-001] </w:t>
      </w:r>
      <w:r>
        <w:rPr>
          <w:rFonts w:ascii="Calibri" w:hAnsi="Calibri" w:eastAsia="Malgun Gothic"/>
          <w:color w:val="111111"/>
          <w:sz w:val="22"/>
        </w:rPr>
        <w:t>MSC 회의자료에 따르면, Technical Body가 매년 최소 몇 일 동안 개최되어야 하며 그 장소는 어디로 규정되어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[BPDF-MSC-002] </w:t>
      </w:r>
      <w:r>
        <w:rPr>
          <w:rFonts w:ascii="Calibri" w:hAnsi="Calibri" w:eastAsia="Malgun Gothic"/>
          <w:color w:val="111111"/>
          <w:sz w:val="22"/>
        </w:rPr>
        <w:t>MSC 회의자료에 따르면, IACS Rec.165 Rev.1이 적용되는 대상과 그 목적은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[BPDF-MSC-003] </w:t>
      </w:r>
      <w:r>
        <w:rPr>
          <w:rFonts w:ascii="Calibri" w:hAnsi="Calibri" w:eastAsia="Malgun Gothic"/>
          <w:color w:val="111111"/>
          <w:sz w:val="22"/>
        </w:rPr>
        <w:t>MSC 회의자료에 따르면, IAPH가 신기술 관련 사이버 복원력 지침(Cyber Resilience Guidelines)을 개발하게 된 배경은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[BPDF-MSC-004] </w:t>
      </w:r>
      <w:r>
        <w:rPr>
          <w:rFonts w:ascii="Calibri" w:hAnsi="Calibri" w:eastAsia="Malgun Gothic"/>
          <w:color w:val="111111"/>
          <w:sz w:val="22"/>
        </w:rPr>
        <w:t>MSC 회의자료에 따르면, GBS 데이터베이스 구축을 위해 워크숍 참가자들이 검토하고 초안을 작성한 사항은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[BPDF-MSC-005] </w:t>
      </w:r>
      <w:r>
        <w:rPr>
          <w:rFonts w:ascii="Calibri" w:hAnsi="Calibri" w:eastAsia="Malgun Gothic"/>
          <w:color w:val="111111"/>
          <w:sz w:val="22"/>
        </w:rPr>
        <w:t>MSC 회의자료에 따르면 해저 통신 및 전력 케이블에 대한 주요 외부 위험 요소는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[BPDF-MSC-006] </w:t>
      </w:r>
      <w:r>
        <w:rPr>
          <w:rFonts w:ascii="Calibri" w:hAnsi="Calibri" w:eastAsia="Malgun Gothic"/>
          <w:color w:val="111111"/>
          <w:sz w:val="22"/>
        </w:rPr>
        <w:t>MSC 회의자료에 따르면, EBP 단계에서 수집된 데이터를 분석하기 위해 어떤 형태의 전담 그룹을 구성할 것을 제안하고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[BPDF-MSC-007] </w:t>
      </w:r>
      <w:r>
        <w:rPr>
          <w:rFonts w:ascii="Calibri" w:hAnsi="Calibri" w:eastAsia="Malgun Gothic"/>
          <w:color w:val="111111"/>
          <w:sz w:val="22"/>
        </w:rPr>
        <w:t>MSC 111-1 문서에 따르면, 6페이지 이하의 비방대한(non-bulky) 문서는 언제까지 제출해야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[BPDF-MSC-008] </w:t>
      </w:r>
      <w:r>
        <w:rPr>
          <w:rFonts w:ascii="Calibri" w:hAnsi="Calibri" w:eastAsia="Malgun Gothic"/>
          <w:color w:val="111111"/>
          <w:sz w:val="22"/>
        </w:rPr>
        <w:t>MSC 111-14-10 문서에 따르면, 선장이 회원국(Member States)에게 컨테이너 분실을 보고할 때 반드시 해당 링크의 양식을 사용해야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[BPDF-MSC-009] </w:t>
      </w:r>
      <w:r>
        <w:rPr>
          <w:rFonts w:ascii="Calibri" w:hAnsi="Calibri" w:eastAsia="Malgun Gothic"/>
          <w:color w:val="111111"/>
          <w:sz w:val="22"/>
        </w:rPr>
        <w:t>MSC 회의자료에 따르면, 선박의 온실가스(GHG) 배출 저감을 위해 신기술 및 대체 연료를 활용하는 안전 규제 프레임워크 개발을 위한 작업 계획(draft work plan)은 어떤 상태입니까?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[BPDF-MSC-010] </w:t>
      </w:r>
      <w:r>
        <w:rPr>
          <w:rFonts w:ascii="Calibri" w:hAnsi="Calibri" w:eastAsia="Malgun Gothic"/>
          <w:color w:val="111111"/>
          <w:sz w:val="22"/>
        </w:rPr>
        <w:t>MSC 회의자료에 따르면, 소프트웨어 업데이트가 발생할 경우를 대비하여 MASS Record 및 MASS ROC Record에 포함되어야 하는 정보는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[BPDF-MSC-011] </w:t>
      </w:r>
      <w:r>
        <w:rPr>
          <w:rFonts w:ascii="Calibri" w:hAnsi="Calibri" w:eastAsia="Malgun Gothic"/>
          <w:color w:val="111111"/>
          <w:sz w:val="22"/>
        </w:rPr>
        <w:t>MSC 회의자료에 따르면, MASS 및 ROC를 위한 경보 관리(alert management) 시스템이 갖추어야 할 설계 원칙은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[BPDF-MSC-012] </w:t>
      </w:r>
      <w:r>
        <w:rPr>
          <w:rFonts w:ascii="Calibri" w:hAnsi="Calibri" w:eastAsia="Malgun Gothic"/>
          <w:color w:val="111111"/>
          <w:sz w:val="22"/>
        </w:rPr>
        <w:t>MSC 회의자료를 참고할 때, MASS Code 초안의 제4장(정의)은 현재 어떤 상태에 있으며 관련 작업은 어디에서 수행될 예정입니까?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[BPDF-MSC-013] </w:t>
      </w:r>
      <w:r>
        <w:rPr>
          <w:rFonts w:ascii="Calibri" w:hAnsi="Calibri" w:eastAsia="Malgun Gothic"/>
          <w:color w:val="111111"/>
          <w:sz w:val="22"/>
        </w:rPr>
        <w:t>MSC 회의자료에 따르면, 비자체 추진형 원자력 FPUs를 위한 비강제적 안전 지침을 즉시 개발해야 하는 이유는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[BPDF-MSC-014] </w:t>
      </w:r>
      <w:r>
        <w:rPr>
          <w:rFonts w:ascii="Calibri" w:hAnsi="Calibri" w:eastAsia="Malgun Gothic"/>
          <w:color w:val="111111"/>
          <w:sz w:val="22"/>
        </w:rPr>
        <w:t>MSC 회의자료에 따르면, 감사된 규칙(audited rules)의 이행이 GBS 검증 프로세스 범위 내에서 다루어져야 하는지 여부는 어떻게 기술되어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[BPDF-MSC-015] </w:t>
      </w:r>
      <w:r>
        <w:rPr>
          <w:rFonts w:ascii="Calibri" w:hAnsi="Calibri" w:eastAsia="Malgun Gothic"/>
          <w:color w:val="111111"/>
          <w:sz w:val="22"/>
        </w:rPr>
        <w:t>MSC 회의자료에 따르면, IQARB 7이 평가한 인정기구(RO)에 대한 사실 진술서(Factual Statements)를 기항국이 활용할 수 있는 목적은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[BPDF-MSC-016] </w:t>
      </w:r>
      <w:r>
        <w:rPr>
          <w:rFonts w:ascii="Calibri" w:hAnsi="Calibri" w:eastAsia="Malgun Gothic"/>
          <w:color w:val="111111"/>
          <w:sz w:val="22"/>
        </w:rPr>
        <w:t>MSC 회의자료에 따르면, 암모니아 연료 준비실(ammonia fuel preparation room)과 관련하여 일본이 제안한 문구 수정 사항은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[BPDF-MSC-017] </w:t>
      </w:r>
      <w:r>
        <w:rPr>
          <w:rFonts w:ascii="Calibri" w:hAnsi="Calibri" w:eastAsia="Malgun Gothic"/>
          <w:color w:val="111111"/>
          <w:sz w:val="22"/>
        </w:rPr>
        <w:t>MSC 111-5-8 문서에 따르면 러시아 연방에서 자율 운항 기술을 위한 법적 프레임워크가 최종 승인된 시점은 언제인가요?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[BPDF-MSC-018] </w:t>
      </w:r>
      <w:r>
        <w:rPr>
          <w:rFonts w:ascii="Calibri" w:hAnsi="Calibri" w:eastAsia="Malgun Gothic"/>
          <w:color w:val="111111"/>
          <w:sz w:val="22"/>
        </w:rPr>
        <w:t>MSC 회의자료에 따르면, BKI가 제출한 시정 조치 계획을 검토한 후 MSC 위원회는 어떤 조건 하에 BKI의 정보가 표준을 준수하는 것으로 확인했습니까?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[BPDF-MSC-019] </w:t>
      </w:r>
      <w:r>
        <w:rPr>
          <w:rFonts w:ascii="Calibri" w:hAnsi="Calibri" w:eastAsia="Malgun Gothic"/>
          <w:color w:val="111111"/>
          <w:sz w:val="22"/>
        </w:rPr>
        <w:t>MSC 111-14-12 문서에 따르면, 갑판 화물 및 컨테이너를 운송하는 선박의 연료 및 오일 필터 세척과 정비를 위해 엔진을 정지하지 않고 수행할 수 있도록 설계해야 한다는 요구사항이 SOLAS 규정 II-1/27에 추가될 가능성이 언급되었나요?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[BPDF-MSC-020] </w:t>
      </w:r>
      <w:r>
        <w:rPr>
          <w:rFonts w:ascii="Calibri" w:hAnsi="Calibri" w:eastAsia="Malgun Gothic"/>
          <w:color w:val="111111"/>
          <w:sz w:val="22"/>
        </w:rPr>
        <w:t>MSC 111-19-1 문서에 따르면, 'administrative requirement'의 정의는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[BPDF-MSC-021] </w:t>
      </w:r>
      <w:r>
        <w:rPr>
          <w:rFonts w:ascii="Calibri" w:hAnsi="Calibri" w:eastAsia="Malgun Gothic"/>
          <w:color w:val="111111"/>
          <w:sz w:val="22"/>
        </w:rPr>
        <w:t>MSC 회의자료에 따르면, 아드리아해(Adriatic Sea) 의무 선박 보고 시스템(ADRIREP) 개정안에 추가로 포함될 것을 요청한 이탈리아 연안 시설은 어디인가요?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[BPDF-MSC-022] </w:t>
      </w:r>
      <w:r>
        <w:rPr>
          <w:rFonts w:ascii="Calibri" w:hAnsi="Calibri" w:eastAsia="Malgun Gothic"/>
          <w:color w:val="111111"/>
          <w:sz w:val="22"/>
        </w:rPr>
        <w:t>MSC 회의자료에 따르면, MASS EBP에서 '증거(evidence)'라는 용어는 어떤 데이터나 연구를 포함하는 것으로 제안되고 있습니까?</w:t>
      </w:r>
    </w:p>
    <w:p>
      <w:pPr>
        <w:pStyle w:val="Heading2"/>
      </w:pPr>
      <w:r>
        <w:t>KR (18문항)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[BPDF-KR-001] </w:t>
      </w:r>
      <w:r>
        <w:rPr>
          <w:rFonts w:ascii="Calibri" w:hAnsi="Calibri" w:eastAsia="Malgun Gothic"/>
          <w:color w:val="111111"/>
          <w:sz w:val="22"/>
        </w:rPr>
        <w:t>선급부호 안내서_2025.pdf에 따르면, BC-A에 적합하며 최대화물밀도가 3.0t/m3 미만인 경우의 선급부호는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[BPDF-KR-002] </w:t>
      </w:r>
      <w:r>
        <w:rPr>
          <w:rFonts w:ascii="Calibri" w:hAnsi="Calibri" w:eastAsia="Malgun Gothic"/>
          <w:color w:val="111111"/>
          <w:sz w:val="22"/>
        </w:rPr>
        <w:t>KR 규정에 따라 건현용 길이가 150m 이상인 산적화물선이 화물밀도가 1.0 t/m³ 미만의 산적 건화물을 운송하도록 설계된 경우 어떤 용도상의 특기사항을 부여받습니까?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[BPDF-KR-003] </w:t>
      </w:r>
      <w:r>
        <w:rPr>
          <w:rFonts w:ascii="Calibri" w:hAnsi="Calibri" w:eastAsia="Malgun Gothic"/>
          <w:color w:val="111111"/>
          <w:sz w:val="22"/>
        </w:rPr>
        <w:t>KR 규정에 따라 휘핑 현상을 고려한 극한하중 산정 시 사용하는 프로그램은 어떠해야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[BPDF-KR-004] </w:t>
      </w:r>
      <w:r>
        <w:rPr>
          <w:rFonts w:ascii="Calibri" w:hAnsi="Calibri" w:eastAsia="Malgun Gothic"/>
          <w:color w:val="111111"/>
          <w:sz w:val="22"/>
        </w:rPr>
        <w:t>펌프타워 구조의 유한 요소 해석 시 모델링과 경계조건 설정에 대해 어떤 사항을 고려해야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[BPDF-KR-005] </w:t>
      </w:r>
      <w:r>
        <w:rPr>
          <w:rFonts w:ascii="Calibri" w:hAnsi="Calibri" w:eastAsia="Malgun Gothic"/>
          <w:color w:val="111111"/>
          <w:sz w:val="22"/>
        </w:rPr>
        <w:t>내부 갑판으로 분할된 특수 구역 또는 Ro-Ro 공간에서 고정식 수계 소화설비가 해당 갑판의 상부와 하부 영역을 동시에 커버할 수 없는 경우, 해당 갑판의 내화 등급과 램프 및 도어의 재질 및 설계 요건은 어떻게 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[BPDF-KR-006] </w:t>
      </w:r>
      <w:r>
        <w:rPr>
          <w:rFonts w:ascii="Calibri" w:hAnsi="Calibri" w:eastAsia="Malgun Gothic"/>
          <w:color w:val="111111"/>
          <w:sz w:val="22"/>
        </w:rPr>
        <w:t>복합재료 프로펠러의 공장조사를 생략할 수 있는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[BPDF-KR-007] </w:t>
      </w:r>
      <w:r>
        <w:rPr>
          <w:rFonts w:ascii="Calibri" w:hAnsi="Calibri" w:eastAsia="Malgun Gothic"/>
          <w:color w:val="111111"/>
          <w:sz w:val="22"/>
        </w:rPr>
        <w:t>금속제 의장품을 부착할 때 적층품의 손상을 방지하기 위해 사용하는 와셔의 규격과 재료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[BPDF-KR-008] </w:t>
      </w:r>
      <w:r>
        <w:rPr>
          <w:rFonts w:ascii="Calibri" w:hAnsi="Calibri" w:eastAsia="Malgun Gothic"/>
          <w:color w:val="111111"/>
          <w:sz w:val="22"/>
        </w:rPr>
        <w:t>부유식 해상구조물에 설치하는 비상전원은 어떤 요건을 갖추어야 하며, 구체적으로 어느 장치들에 대해 최소 몇 시간 이상 급전이 가능해야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[BPDF-KR-009] </w:t>
      </w:r>
      <w:r>
        <w:rPr>
          <w:rFonts w:ascii="Calibri" w:hAnsi="Calibri" w:eastAsia="Malgun Gothic"/>
          <w:color w:val="111111"/>
          <w:sz w:val="22"/>
        </w:rPr>
        <w:t>부유식 생산구조물 지침에 따르면, 작동압력이 0.1 MPa 이하인 간접 연소방식의 목욕실온수가열기는 어떤 규격에 적합하게 설계 및 제작되어야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[BPDF-KR-010] </w:t>
      </w:r>
      <w:r>
        <w:rPr>
          <w:rFonts w:ascii="Calibri" w:hAnsi="Calibri" w:eastAsia="Malgun Gothic"/>
          <w:color w:val="111111"/>
          <w:sz w:val="22"/>
        </w:rPr>
        <w:t>6편_2025.pdf의 401절에 따르면, 어떤 컴퓨터기반시스템이 이 절의 요건에서 제외되나요?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[BPDF-KR-011] </w:t>
      </w:r>
      <w:r>
        <w:rPr>
          <w:rFonts w:ascii="Calibri" w:hAnsi="Calibri" w:eastAsia="Malgun Gothic"/>
          <w:color w:val="111111"/>
          <w:sz w:val="22"/>
        </w:rPr>
        <w:t>화물 및 프로세스용 관장치의 강도시험 시 액체관과 화물증기관의 압력시험 기준은 각각 어떻게 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[BPDF-KR-012] </w:t>
      </w:r>
      <w:r>
        <w:rPr>
          <w:rFonts w:ascii="Calibri" w:hAnsi="Calibri" w:eastAsia="Malgun Gothic"/>
          <w:color w:val="111111"/>
          <w:sz w:val="22"/>
        </w:rPr>
        <w:t>머드가스 분리기의 머드 배출라인을 통한 가스 유입을 방지하고 확인하기 위해 필요한 장치와 액봉(liquid seal) 트랩의 높이 조건은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[BPDF-KR-013] </w:t>
      </w:r>
      <w:r>
        <w:rPr>
          <w:rFonts w:ascii="Calibri" w:hAnsi="Calibri" w:eastAsia="Malgun Gothic"/>
          <w:color w:val="111111"/>
          <w:sz w:val="22"/>
        </w:rPr>
        <w:t>고정식 화재탐지 및 화재경보장치용으로 사용되는 가청경보장치의 전원공급은 어떠한 요건을 만족해야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[BPDF-KR-014] </w:t>
      </w:r>
      <w:r>
        <w:rPr>
          <w:rFonts w:ascii="Calibri" w:hAnsi="Calibri" w:eastAsia="Malgun Gothic"/>
          <w:color w:val="111111"/>
          <w:sz w:val="22"/>
        </w:rPr>
        <w:t>KR 규정에 따르면, 간헐적으로 침수가 되는 갑판상의 도선 연결부는 최소 어떤 보호 등급을 충족해야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[BPDF-KR-015] </w:t>
      </w:r>
      <w:r>
        <w:rPr>
          <w:rFonts w:ascii="Calibri" w:hAnsi="Calibri" w:eastAsia="Malgun Gothic"/>
          <w:color w:val="111111"/>
          <w:sz w:val="22"/>
        </w:rPr>
        <w:t>KR 규정에 따라, 용설정압력보다 최대 5%까지 높은 압력을 설정하여 증기방출을 최소화할 경우 압력도출밸브의 재료는 어떤 온도 요건을 충족해야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[BPDF-KR-016] </w:t>
      </w:r>
      <w:r>
        <w:rPr>
          <w:rFonts w:ascii="Calibri" w:hAnsi="Calibri" w:eastAsia="Malgun Gothic"/>
          <w:color w:val="111111"/>
          <w:sz w:val="22"/>
        </w:rPr>
        <w:t>KR 규정에 따라 DHT(CSR) 선종의 경우, 종방향 부재(Longitudinal members) 중 어떤 항목들의 두께 측정값을 기록해야 하나요?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[BPDF-KR-017] </w:t>
      </w:r>
      <w:r>
        <w:rPr>
          <w:rFonts w:ascii="Calibri" w:hAnsi="Calibri" w:eastAsia="Malgun Gothic"/>
          <w:color w:val="111111"/>
          <w:sz w:val="22"/>
        </w:rPr>
        <w:t>KR 규정에 따라 준설선 연차검사 시, 감소된 건현을 지정받은 선박에서 확인해야 하는 항목은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[BPDF-KR-018] </w:t>
      </w:r>
      <w:r>
        <w:rPr>
          <w:rFonts w:ascii="Calibri" w:hAnsi="Calibri" w:eastAsia="Malgun Gothic"/>
          <w:color w:val="111111"/>
          <w:sz w:val="22"/>
        </w:rPr>
        <w:t>크로스타이가 설치되지 않는 경우, 특설늑골의 요구되는 단면계수는 하단으로부터 측정하여 굽힘에 대한 유효스팬의 몇 퍼센트에 걸쳐 유지되어야 합니까?</w:t>
      </w:r>
    </w:p>
    <w:p>
      <w:pPr>
        <w:pStyle w:val="Heading2"/>
      </w:pPr>
      <w:r>
        <w:t>ABS (9문항)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[BPDF-ABS-001] </w:t>
      </w:r>
      <w:r>
        <w:rPr>
          <w:rFonts w:ascii="Calibri" w:hAnsi="Calibri" w:eastAsia="Malgun Gothic"/>
          <w:color w:val="111111"/>
          <w:sz w:val="22"/>
        </w:rPr>
        <w:t>ABS 규정에 따라 추진 기관의 원격 제어권을 중앙 제어소(centralized control station)와 기관실 내 현장 수동 제어 위치 사이에서 전환할 때, 수신 측의 확인(acknowledgment) 절차가 필요한가요?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[BPDF-ABS-002] </w:t>
      </w:r>
      <w:r>
        <w:rPr>
          <w:rFonts w:ascii="Calibri" w:hAnsi="Calibri" w:eastAsia="Malgun Gothic"/>
          <w:color w:val="111111"/>
          <w:sz w:val="22"/>
        </w:rPr>
        <w:t>선체 거더 전단 및 굽힘 모멘트 계산 시 적용해야 하는 국부 하중(local loads)의 종류는 무엇입니까?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[BPDF-ABS-003] </w:t>
      </w:r>
      <w:r>
        <w:rPr>
          <w:rFonts w:ascii="Calibri" w:hAnsi="Calibri" w:eastAsia="Malgun Gothic"/>
          <w:color w:val="111111"/>
          <w:sz w:val="22"/>
        </w:rPr>
        <w:t>구조적 구성과 치수가 화물창마다 크게 다를 경우, 모든 주요 영역을 포함하기 위해 3D 유한요소 모델(F.E. model)은 어떻게 구성해야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[BPDF-ABS-004] </w:t>
      </w:r>
      <w:r>
        <w:rPr>
          <w:rFonts w:ascii="Calibri" w:hAnsi="Calibri" w:eastAsia="Malgun Gothic"/>
          <w:color w:val="111111"/>
          <w:sz w:val="22"/>
        </w:rPr>
        <w:t>ABS 규정에 따라 항구 내 운영 시, 화물창(Cargo holds)과 펌프룸(pump room)에 대한 빌지 수위 모니터링 시스템은 어떻게 구성되어야 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[BPDF-ABS-005] </w:t>
      </w:r>
      <w:r>
        <w:rPr>
          <w:rFonts w:ascii="Calibri" w:hAnsi="Calibri" w:eastAsia="Malgun Gothic"/>
          <w:color w:val="111111"/>
          <w:sz w:val="22"/>
        </w:rPr>
        <w:t>ABS 규정에 따른 'Surveillance Audit'의 정의는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[BPDF-ABS-006] </w:t>
      </w:r>
      <w:r>
        <w:rPr>
          <w:rFonts w:ascii="Calibri" w:hAnsi="Calibri" w:eastAsia="Malgun Gothic"/>
          <w:color w:val="111111"/>
          <w:sz w:val="22"/>
        </w:rPr>
        <w:t>ABS 규정에 따라 SCR 시스템 설치 및 운용 시 엔진 성능에 미치는 영향과 관련하여 어떤 요구사항이 있습니까?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[BPDF-ABS-007] </w:t>
      </w:r>
      <w:r>
        <w:rPr>
          <w:rFonts w:ascii="Calibri" w:hAnsi="Calibri" w:eastAsia="Malgun Gothic"/>
          <w:color w:val="111111"/>
          <w:sz w:val="22"/>
        </w:rPr>
        <w:t>최종 통합 및 선상 테스트 단계에서 자율 또는 원격 제어 기능과 관련된 수동 제어권 전환에 대해 어떤 요건이 요구됩니까?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[BPDF-ABS-008] </w:t>
      </w:r>
      <w:r>
        <w:rPr>
          <w:rFonts w:ascii="Calibri" w:hAnsi="Calibri" w:eastAsia="Malgun Gothic"/>
          <w:color w:val="111111"/>
          <w:sz w:val="22"/>
        </w:rPr>
        <w:t>상태 모니터링 작업이 포함되지 않은 계획 정비(Planned Maintenance) 프로그램의 이행 검사 시 확인해야 하는 항목들은 무엇인가요?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[BPDF-ABS-009] </w:t>
      </w:r>
      <w:r>
        <w:rPr>
          <w:rFonts w:ascii="Calibri" w:hAnsi="Calibri" w:eastAsia="Malgun Gothic"/>
          <w:color w:val="111111"/>
          <w:sz w:val="22"/>
        </w:rPr>
        <w:t>ABS 규정에 따라 소음이 매우 높은 공간에 설치된 장비의 경보 시스템은 어떻게 구성되어야 합니까?</w:t>
      </w:r>
    </w:p>
    <w:p>
      <w:pPr>
        <w:pStyle w:val="Heading2"/>
      </w:pPr>
      <w:r>
        <w:t>LR (1문항)</w:t>
      </w:r>
    </w:p>
    <w:p>
      <w:pPr>
        <w:pStyle w:val="QuestionList"/>
        <w:numPr>
          <w:ilvl w:val="0"/>
          <w:numId w:val="10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[BPDF-LR-001] </w:t>
      </w:r>
      <w:r>
        <w:rPr>
          <w:rFonts w:ascii="Calibri" w:hAnsi="Calibri" w:eastAsia="Malgun Gothic"/>
          <w:color w:val="111111"/>
          <w:sz w:val="22"/>
        </w:rPr>
        <w:t>Notice No.1 Rules and Regulations for the Classification of Ships, July 2025에 따르면, 앵커 핸들링 윈치(anchor handling winch)를 위해 제출해야 하는 설계 정보와 계산 항목은 무엇인가요?</w:t>
      </w:r>
    </w:p>
    <w:p>
      <w:pPr>
        <w:pStyle w:val="Heading1"/>
      </w:pPr>
      <w:r>
        <w:t>2. 표 질문 (22문항)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[TC22_001] </w:t>
      </w:r>
      <w:r>
        <w:rPr>
          <w:rFonts w:ascii="Calibri" w:hAnsi="Calibri" w:eastAsia="Malgun Gothic"/>
          <w:color w:val="111111"/>
          <w:sz w:val="22"/>
        </w:rPr>
        <w:t>RSTH 12·22·23·24 관을 확관한 후 관 끝의 허용 바깥지름은 원래 관 바깥지름의 몇 배인가?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[TC22_004] </w:t>
      </w:r>
      <w:r>
        <w:rPr>
          <w:rFonts w:ascii="Calibri" w:hAnsi="Calibri" w:eastAsia="Malgun Gothic"/>
          <w:color w:val="111111"/>
          <w:sz w:val="22"/>
        </w:rPr>
        <w:t>기관실 격벽은 어느 위치의 횡격벽을 의미하는가?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[TC22_007] </w:t>
      </w:r>
      <w:r>
        <w:rPr>
          <w:rFonts w:ascii="Calibri" w:hAnsi="Calibri" w:eastAsia="Malgun Gothic"/>
          <w:color w:val="111111"/>
          <w:sz w:val="22"/>
        </w:rPr>
        <w:t>좌굴패널은 어떤 판 패널을 의미하는가?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[TC22_010] </w:t>
      </w:r>
      <w:r>
        <w:rPr>
          <w:rFonts w:ascii="Calibri" w:hAnsi="Calibri" w:eastAsia="Malgun Gothic"/>
          <w:color w:val="111111"/>
          <w:sz w:val="22"/>
        </w:rPr>
        <w:t>실린더 출구별 배기가스 온도가 평균에서 벗어나면 이중차단·배출밸브의 자동 작동이 요구되는가?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[TC22_013] </w:t>
      </w:r>
      <w:r>
        <w:rPr>
          <w:rFonts w:ascii="Calibri" w:hAnsi="Calibri" w:eastAsia="Malgun Gothic"/>
          <w:color w:val="111111"/>
          <w:sz w:val="22"/>
        </w:rPr>
        <w:t>재화중량이 10만 톤 초과 15만 톤 이하인 선박의 안전사용하중은 몇 톤인가?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[TC22_016] </w:t>
      </w:r>
      <w:r>
        <w:rPr>
          <w:rFonts w:ascii="Calibri" w:hAnsi="Calibri" w:eastAsia="Malgun Gothic"/>
          <w:color w:val="111111"/>
          <w:sz w:val="22"/>
        </w:rPr>
        <w:t>주 운송화물명을 표시하는 Chemical Carrier 특기사항의 설계 규정은 어느 장인가?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[TC22_019] </w:t>
      </w:r>
      <w:r>
        <w:rPr>
          <w:rFonts w:ascii="Calibri" w:hAnsi="Calibri" w:eastAsia="Malgun Gothic"/>
          <w:color w:val="111111"/>
          <w:sz w:val="22"/>
        </w:rPr>
        <w:t>주요 지지부재는 최종강도 검토 대상인가?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[TC22_022] </w:t>
      </w:r>
      <w:r>
        <w:rPr>
          <w:rFonts w:ascii="Calibri" w:hAnsi="Calibri" w:eastAsia="Malgun Gothic"/>
          <w:color w:val="111111"/>
          <w:sz w:val="22"/>
        </w:rPr>
        <w:t>빌지저장탱크는 제4차 이후 정기검사에서 내부검사 대상인가?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[TC22_025] </w:t>
      </w:r>
      <w:r>
        <w:rPr>
          <w:rFonts w:ascii="Calibri" w:hAnsi="Calibri" w:eastAsia="Malgun Gothic"/>
          <w:color w:val="111111"/>
          <w:sz w:val="22"/>
        </w:rPr>
        <w:t>평형수탱크·빌지탱크·드레인 저장탱크·체인로커 한쪽 면의 부식추가는 몇 mm인가?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[TC22_028] </w:t>
      </w:r>
      <w:r>
        <w:rPr>
          <w:rFonts w:ascii="Calibri" w:hAnsi="Calibri" w:eastAsia="Malgun Gothic"/>
          <w:color w:val="111111"/>
          <w:sz w:val="22"/>
        </w:rPr>
        <w:t>선수격벽 뒤에 있는 체인로커의 시험압력수두는 어떻게 정하는가?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[TC22_031] </w:t>
      </w:r>
      <w:r>
        <w:rPr>
          <w:rFonts w:ascii="Calibri" w:hAnsi="Calibri" w:eastAsia="Malgun Gothic"/>
          <w:color w:val="111111"/>
          <w:sz w:val="22"/>
        </w:rPr>
        <w:t>어느 면도 해수에 접하지 않는 부재의 부식 두께는 몇 mm인가?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[TC22_034] </w:t>
      </w:r>
      <w:r>
        <w:rPr>
          <w:rFonts w:ascii="Calibri" w:hAnsi="Calibri" w:eastAsia="Malgun Gothic"/>
          <w:color w:val="111111"/>
          <w:sz w:val="22"/>
        </w:rPr>
        <w:t>1·2구역의 비선수미 격벽에는 외판에서 몇 m 이내까지 판 구조요건을 적용하는가?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[TC22_037] </w:t>
      </w:r>
      <w:r>
        <w:rPr>
          <w:rFonts w:ascii="Calibri" w:hAnsi="Calibri" w:eastAsia="Malgun Gothic"/>
          <w:color w:val="111111"/>
          <w:sz w:val="22"/>
        </w:rPr>
        <w:t>내항 또는 보호수역 운항 시 허용 정수중 전단력은 어떤 기호로 표시하는가?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[TC22_040] </w:t>
      </w:r>
      <w:r>
        <w:rPr>
          <w:rFonts w:ascii="Calibri" w:hAnsi="Calibri" w:eastAsia="Malgun Gothic"/>
          <w:color w:val="111111"/>
          <w:sz w:val="22"/>
        </w:rPr>
        <w:t>점화용 연료분사 또는 스파크 점화장치가 오작동하면 이중차단·배출밸브가 자동 작동해야 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[TC22_043] </w:t>
      </w:r>
      <w:r>
        <w:rPr>
          <w:rFonts w:ascii="Calibri" w:hAnsi="Calibri" w:eastAsia="Malgun Gothic"/>
          <w:color w:val="111111"/>
          <w:sz w:val="22"/>
        </w:rPr>
        <w:t>창구와 맨홀을 2차방벽 또는 방벽간 구역에 설치할 때 어떤 강재를 사용해야 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[TC22_046] </w:t>
      </w:r>
      <w:r>
        <w:rPr>
          <w:rFonts w:ascii="Calibri" w:hAnsi="Calibri" w:eastAsia="Malgun Gothic"/>
          <w:color w:val="111111"/>
          <w:sz w:val="22"/>
        </w:rPr>
        <w:t>선급이 추가로 요구하는 기관 표시·경보항목은 어디에 표시해야 하는가?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[TC22_049] </w:t>
      </w:r>
      <w:r>
        <w:rPr>
          <w:rFonts w:ascii="Calibri" w:hAnsi="Calibri" w:eastAsia="Malgun Gothic"/>
          <w:color w:val="111111"/>
          <w:sz w:val="22"/>
        </w:rPr>
        <w:t>소선지름이 0.20mm 이상 1.00mm 이하일 때 최대지름과 최소지름의 허용 차이는 몇 mm인가?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[TC22_052] </w:t>
      </w:r>
      <w:r>
        <w:rPr>
          <w:rFonts w:ascii="Calibri" w:hAnsi="Calibri" w:eastAsia="Malgun Gothic"/>
          <w:color w:val="111111"/>
          <w:sz w:val="22"/>
        </w:rPr>
        <w:t>길이 25m 이상 30m 미만인 선박에는 동력 빌지펌프가 몇 대 필요한가?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[TC22_055] </w:t>
      </w:r>
      <w:r>
        <w:rPr>
          <w:rFonts w:ascii="Calibri" w:hAnsi="Calibri" w:eastAsia="Malgun Gothic"/>
          <w:color w:val="111111"/>
          <w:sz w:val="22"/>
        </w:rPr>
        <w:t>무할로겐 고등급 에틸렌 프로필렌 고무 절연물의 최고 허용 도체온도는 몇 °C인가?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[TC22_058] </w:t>
      </w:r>
      <w:r>
        <w:rPr>
          <w:rFonts w:ascii="Calibri" w:hAnsi="Calibri" w:eastAsia="Malgun Gothic"/>
          <w:color w:val="111111"/>
          <w:sz w:val="22"/>
        </w:rPr>
        <w:t>적층용 액상 수지의 광물 함유량은 제조자 공칭값에서 몇 %까지 벗어날 수 있는가?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[TC22_061] </w:t>
      </w:r>
      <w:r>
        <w:rPr>
          <w:rFonts w:ascii="Calibri" w:hAnsi="Calibri" w:eastAsia="Malgun Gothic"/>
          <w:color w:val="111111"/>
          <w:sz w:val="22"/>
        </w:rPr>
        <w:t>주갑판 아래의 안덮개 설치비율은 얼마인가?</w:t>
      </w:r>
    </w:p>
    <w:p>
      <w:pPr>
        <w:pStyle w:val="QuestionList"/>
        <w:numPr>
          <w:ilvl w:val="0"/>
          <w:numId w:val="11"/>
        </w:numPr>
      </w:pPr>
      <w:r>
        <w:rPr>
          <w:rFonts w:ascii="Calibri" w:hAnsi="Calibri" w:eastAsia="Malgun Gothic"/>
          <w:b/>
          <w:color w:val="2E74B5"/>
          <w:sz w:val="21"/>
        </w:rPr>
        <w:t xml:space="preserve">[TC22_064] </w:t>
      </w:r>
      <w:r>
        <w:rPr>
          <w:rFonts w:ascii="Calibri" w:hAnsi="Calibri" w:eastAsia="Malgun Gothic"/>
          <w:color w:val="111111"/>
          <w:sz w:val="22"/>
        </w:rPr>
        <w:t>단열재료의 화재 및 화염전파 저항 시험에는 어떤 시험규격을 적용하는가?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algun Gothic"/>
        <w:color w:val="667085"/>
        <w:sz w:val="17"/>
      </w:rPr>
      <w:t xml:space="preserve">MaritimeOps AI · </w:t>
    </w:r>
    <w:r>
      <w:rPr>
        <w:rFonts w:ascii="Calibri" w:hAnsi="Calibri" w:eastAsia="Malgun Gothic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085"/>
        <w:sz w:val="17"/>
      </w:rPr>
      <w:t>RAG VALIDATION · QUESTION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ist">
    <w:name w:val="Question List"/>
    <w:basedOn w:val="Normal"/>
    <w:pPr>
      <w:spacing w:before="0" w:after="80" w:line="300" w:lineRule="auto"/>
      <w:ind w:left="540" w:hanging="271"/>
    </w:pPr>
    <w:rPr>
      <w:rFonts w:ascii="Calibri" w:hAnsi="Calibri" w:eastAsia="Malgun Gothic"/>
      <w:b w:val="0"/>
      <w:color w:val="111111"/>
      <w:sz w:val="22"/>
    </w:rPr>
  </w:style>
  <w:style w:type="paragraph" w:customStyle="1" w:styleId="ItemHeading">
    <w:name w:val="Item Heading"/>
    <w:basedOn w:val="Normal"/>
    <w:pPr>
      <w:keepNext/>
      <w:spacing w:before="0" w:after="120" w:line="276" w:lineRule="auto"/>
    </w:pPr>
    <w:rPr>
      <w:rFonts w:ascii="Calibri" w:hAnsi="Calibri" w:eastAsia="Malgun Gothic"/>
      <w:b/>
      <w:color w:val="1F4D78"/>
      <w:sz w:val="23"/>
    </w:rPr>
  </w:style>
  <w:style w:type="paragraph" w:customStyle="1" w:styleId="FieldLabel">
    <w:name w:val="Field Label"/>
    <w:basedOn w:val="Normal"/>
    <w:pPr>
      <w:keepNext/>
      <w:spacing w:before="0" w:after="40" w:line="240" w:lineRule="auto"/>
    </w:pPr>
    <w:rPr>
      <w:rFonts w:ascii="Calibri" w:hAnsi="Calibri" w:eastAsia="Malgun Gothic"/>
      <w:b/>
      <w:color w:val="2E74B5"/>
      <w:sz w:val="18"/>
    </w:rPr>
  </w:style>
  <w:style w:type="paragraph" w:customStyle="1" w:styleId="FieldBody">
    <w:name w:val="Field Body"/>
    <w:basedOn w:val="Normal"/>
    <w:pPr>
      <w:spacing w:before="0" w:after="120" w:line="283" w:lineRule="auto"/>
    </w:pPr>
    <w:rPr>
      <w:rFonts w:ascii="Calibri" w:hAnsi="Calibri" w:eastAsia="Malgun Gothic"/>
      <w:b w:val="0"/>
      <w:color w:val="111111"/>
      <w:sz w:val="21"/>
    </w:rPr>
  </w:style>
  <w:style w:type="paragraph" w:customStyle="1" w:styleId="AnswerSection">
    <w:name w:val="Answer Section"/>
    <w:basedOn w:val="Normal"/>
    <w:pPr>
      <w:spacing w:before="0" w:after="40" w:line="264" w:lineRule="auto"/>
    </w:pPr>
    <w:rPr>
      <w:rFonts w:ascii="Calibri" w:hAnsi="Calibri" w:eastAsia="Malgun Gothic"/>
      <w:b/>
      <w:color w:val="1F4D78"/>
      <w:sz w:val="19"/>
    </w:rPr>
  </w:style>
  <w:style w:type="paragraph" w:customStyle="1" w:styleId="AnswerBody">
    <w:name w:val="Answer Body"/>
    <w:basedOn w:val="Normal"/>
    <w:pPr>
      <w:spacing w:before="0" w:after="60" w:line="269" w:lineRule="auto"/>
      <w:ind w:left="259" w:right="115"/>
    </w:pPr>
    <w:rPr>
      <w:rFonts w:ascii="Calibri" w:hAnsi="Calibri" w:eastAsia="Malgun Gothic"/>
      <w:b w:val="0"/>
      <w:color w:val="111111"/>
      <w:sz w:val="19"/>
    </w:rPr>
  </w:style>
  <w:style w:type="paragraph" w:customStyle="1" w:styleId="NoteBody">
    <w:name w:val="Note Body"/>
    <w:basedOn w:val="Normal"/>
    <w:pPr>
      <w:spacing w:before="0" w:after="100" w:line="269" w:lineRule="auto"/>
      <w:ind w:left="259"/>
    </w:pPr>
    <w:rPr>
      <w:rFonts w:ascii="Calibri" w:hAnsi="Calibri" w:eastAsia="Malgun Gothic"/>
      <w:b w:val="0"/>
      <w:color w:val="667085"/>
      <w:sz w:val="19"/>
    </w:rPr>
  </w:style>
  <w:style w:type="paragraph" w:customStyle="1" w:styleId="TableText">
    <w:name w:val="Table Text"/>
    <w:basedOn w:val="Normal"/>
    <w:pPr>
      <w:spacing w:before="0" w:after="0" w:line="252" w:lineRule="auto"/>
    </w:pPr>
    <w:rPr>
      <w:rFonts w:ascii="Calibri" w:hAnsi="Calibri" w:eastAsia="Malgun Gothic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검증 질문 목록 172문항</dc:title>
  <dc:subject>150개 PDF 텍스트 질문과 22개 표 질문</dc:subject>
  <dc:creator>MaritimeOps AI Evaluation</dc:creator>
  <cp:keywords>RAG, maritime, validation,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