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Calibri" w:hAnsi="Calibri" w:eastAsia="Malgun Gothic"/>
          <w:b/>
          <w:color w:val="2E74B5"/>
          <w:sz w:val="18"/>
        </w:rPr>
        <w:t>MARITIMEOPS AI · VALIDATION RECORD</w:t>
      </w:r>
    </w:p>
    <w:p>
      <w:pPr>
        <w:spacing w:after="100"/>
      </w:pPr>
      <w:r>
        <w:rPr>
          <w:rFonts w:ascii="Calibri" w:hAnsi="Calibri" w:eastAsia="Malgun Gothic"/>
          <w:b/>
          <w:color w:val="0B2545"/>
          <w:sz w:val="48"/>
        </w:rPr>
        <w:t>RAG 검증 상세 결과</w:t>
      </w:r>
    </w:p>
    <w:p>
      <w:pPr>
        <w:spacing w:after="200"/>
      </w:pPr>
      <w:r>
        <w:rPr>
          <w:rFonts w:ascii="Calibri" w:hAnsi="Calibri" w:eastAsia="Malgun Gothic"/>
          <w:color w:val="667085"/>
          <w:sz w:val="25"/>
        </w:rPr>
        <w:t>질문 · 기준 정답 · 실제 생성 답변 · 정답/실패/보류</w:t>
      </w:r>
    </w:p>
    <w:p>
      <w:pPr>
        <w:spacing w:after="240"/>
      </w:pPr>
      <w:r>
        <w:rPr>
          <w:rFonts w:ascii="Calibri" w:hAnsi="Calibri" w:eastAsia="Malgun Gothic"/>
          <w:color w:val="667085"/>
          <w:sz w:val="19"/>
        </w:rPr>
        <w:t>텍스트: Accurate final_accurate_v5 · 표: Fast final_fast_v5 · 자동 판정 기록</w:t>
      </w:r>
    </w:p>
    <w:p>
      <w:pPr>
        <w:spacing w:after="240"/>
        <w:pBdr>
          <w:bottom w:val="single" w:sz="10" w:space="8" w:color="2E74B5"/>
        </w:pBdr>
      </w:pPr>
    </w:p>
    <w:p>
      <w:pPr>
        <w:pStyle w:val="NoteBody"/>
        <w:shd w:fill="FFF6DA"/>
        <w:pBdr>
          <w:left w:val="single" w:sz="16" w:space="8" w:color="7A5A00"/>
        </w:pBdr>
      </w:pPr>
      <w:r>
        <w:rPr>
          <w:rFonts w:ascii="Calibri" w:hAnsi="Calibri" w:eastAsia="Malgun Gothic"/>
          <w:color w:val="111111"/>
          <w:sz w:val="19"/>
        </w:rPr>
        <w:t>판정 기준: 정답은 자동 근거 판정 통과, 실패는 정확성 0~1점 또는 명시적 모순, 보류는 부분 충족·표기 차이 등 사람 확인이 필요한 경우입니다. 해사 전문가의 공식 검수 결과는 아닙니다.</w:t>
      </w:r>
    </w:p>
    <w:tbl>
      <w:tblPr>
        <w:tblStyle w:val="TableGrid"/>
        <w:tblW w:type="dxa" w:w="9360"/>
        <w:tblLayout w:type="fixed"/>
        <w:tblLook w:firstColumn="1" w:firstRow="1" w:lastColumn="0" w:lastRow="0" w:noHBand="0" w:noVBand="1" w:val="04A0"/>
        <w:tblInd w:type="dxa" w:w="120"/>
      </w:tblPr>
      <w:tblGrid>
        <w:gridCol w:w="2500"/>
        <w:gridCol w:w="1715"/>
        <w:gridCol w:w="1715"/>
        <w:gridCol w:w="1715"/>
        <w:gridCol w:w="1715"/>
      </w:tblGrid>
      <w:tr>
        <w:trPr>
          <w:tblHeader w:val="true"/>
        </w:trPr>
        <w:tc>
          <w:tcPr>
            <w:tcW w:type="dxa" w:w="2500"/>
            <w:shd w:fill="E8EEF5"/>
            <w:vAlign w:val="center"/>
            <w:tcMar>
              <w:top w:w="80" w:type="dxa"/>
              <w:bottom w:w="80" w:type="dxa"/>
              <w:start w:w="120" w:type="dxa"/>
              <w:end w:w="120" w:type="dxa"/>
            </w:tcMar>
          </w:tcPr>
          <w:p>
            <w:pPr>
              <w:pStyle w:val="TableText"/>
              <w:jc w:val="center"/>
            </w:pPr>
            <w:r>
              <w:rPr>
                <w:rFonts w:ascii="Calibri" w:hAnsi="Calibri" w:eastAsia="Malgun Gothic"/>
                <w:b/>
                <w:color w:val="0B2545"/>
                <w:sz w:val="19"/>
              </w:rPr>
              <w:t>구분</w:t>
            </w:r>
          </w:p>
        </w:tc>
        <w:tc>
          <w:tcPr>
            <w:tcW w:type="dxa" w:w="1715"/>
            <w:shd w:fill="E8EEF5"/>
            <w:vAlign w:val="center"/>
            <w:tcMar>
              <w:top w:w="80" w:type="dxa"/>
              <w:bottom w:w="80" w:type="dxa"/>
              <w:start w:w="120" w:type="dxa"/>
              <w:end w:w="120" w:type="dxa"/>
            </w:tcMar>
          </w:tcPr>
          <w:p>
            <w:pPr>
              <w:pStyle w:val="TableText"/>
              <w:jc w:val="center"/>
            </w:pPr>
            <w:r>
              <w:rPr>
                <w:rFonts w:ascii="Calibri" w:hAnsi="Calibri" w:eastAsia="Malgun Gothic"/>
                <w:b/>
                <w:color w:val="0B2545"/>
                <w:sz w:val="19"/>
              </w:rPr>
              <w:t>정답</w:t>
            </w:r>
          </w:p>
        </w:tc>
        <w:tc>
          <w:tcPr>
            <w:tcW w:type="dxa" w:w="1715"/>
            <w:shd w:fill="E8EEF5"/>
            <w:vAlign w:val="center"/>
            <w:tcMar>
              <w:top w:w="80" w:type="dxa"/>
              <w:bottom w:w="80" w:type="dxa"/>
              <w:start w:w="120" w:type="dxa"/>
              <w:end w:w="120" w:type="dxa"/>
            </w:tcMar>
          </w:tcPr>
          <w:p>
            <w:pPr>
              <w:pStyle w:val="TableText"/>
              <w:jc w:val="center"/>
            </w:pPr>
            <w:r>
              <w:rPr>
                <w:rFonts w:ascii="Calibri" w:hAnsi="Calibri" w:eastAsia="Malgun Gothic"/>
                <w:b/>
                <w:color w:val="0B2545"/>
                <w:sz w:val="19"/>
              </w:rPr>
              <w:t>실패</w:t>
            </w:r>
          </w:p>
        </w:tc>
        <w:tc>
          <w:tcPr>
            <w:tcW w:type="dxa" w:w="1715"/>
            <w:shd w:fill="E8EEF5"/>
            <w:vAlign w:val="center"/>
            <w:tcMar>
              <w:top w:w="80" w:type="dxa"/>
              <w:bottom w:w="80" w:type="dxa"/>
              <w:start w:w="120" w:type="dxa"/>
              <w:end w:w="120" w:type="dxa"/>
            </w:tcMar>
          </w:tcPr>
          <w:p>
            <w:pPr>
              <w:pStyle w:val="TableText"/>
              <w:jc w:val="center"/>
            </w:pPr>
            <w:r>
              <w:rPr>
                <w:rFonts w:ascii="Calibri" w:hAnsi="Calibri" w:eastAsia="Malgun Gothic"/>
                <w:b/>
                <w:color w:val="0B2545"/>
                <w:sz w:val="19"/>
              </w:rPr>
              <w:t>보류</w:t>
            </w:r>
          </w:p>
        </w:tc>
        <w:tc>
          <w:tcPr>
            <w:tcW w:type="dxa" w:w="1715"/>
            <w:shd w:fill="E8EEF5"/>
            <w:vAlign w:val="center"/>
            <w:tcMar>
              <w:top w:w="80" w:type="dxa"/>
              <w:bottom w:w="80" w:type="dxa"/>
              <w:start w:w="120" w:type="dxa"/>
              <w:end w:w="120" w:type="dxa"/>
            </w:tcMar>
          </w:tcPr>
          <w:p>
            <w:pPr>
              <w:pStyle w:val="TableText"/>
              <w:jc w:val="center"/>
            </w:pPr>
            <w:r>
              <w:rPr>
                <w:rFonts w:ascii="Calibri" w:hAnsi="Calibri" w:eastAsia="Malgun Gothic"/>
                <w:b/>
                <w:color w:val="0B2545"/>
                <w:sz w:val="19"/>
              </w:rPr>
              <w:t>합계</w:t>
            </w:r>
          </w:p>
        </w:tc>
      </w:tr>
      <w:tr>
        <w:tc>
          <w:tcPr>
            <w:tcW w:type="dxa" w:w="2500"/>
            <w:vAlign w:val="center"/>
            <w:tcMar>
              <w:top w:w="80" w:type="dxa"/>
              <w:bottom w:w="80" w:type="dxa"/>
              <w:start w:w="120" w:type="dxa"/>
              <w:end w:w="120" w:type="dxa"/>
            </w:tcMar>
          </w:tcPr>
          <w:p>
            <w:pPr>
              <w:pStyle w:val="TableText"/>
              <w:jc w:val="left"/>
            </w:pPr>
            <w:r>
              <w:rPr>
                <w:rFonts w:ascii="Calibri" w:hAnsi="Calibri" w:eastAsia="Malgun Gothic"/>
                <w:b w:val="0"/>
                <w:color w:val="111111"/>
                <w:sz w:val="19"/>
              </w:rPr>
              <w:t>텍스트 150</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57</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69</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24</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color w:val="111111"/>
                <w:sz w:val="19"/>
              </w:rPr>
              <w:t>150</w:t>
            </w:r>
          </w:p>
        </w:tc>
      </w:tr>
      <w:tr>
        <w:tc>
          <w:tcPr>
            <w:tcW w:type="dxa" w:w="2500"/>
            <w:vAlign w:val="center"/>
            <w:tcMar>
              <w:top w:w="80" w:type="dxa"/>
              <w:bottom w:w="80" w:type="dxa"/>
              <w:start w:w="120" w:type="dxa"/>
              <w:end w:w="120" w:type="dxa"/>
            </w:tcMar>
          </w:tcPr>
          <w:p>
            <w:pPr>
              <w:pStyle w:val="TableText"/>
              <w:jc w:val="left"/>
            </w:pPr>
            <w:r>
              <w:rPr>
                <w:rFonts w:ascii="Calibri" w:hAnsi="Calibri" w:eastAsia="Malgun Gothic"/>
                <w:b w:val="0"/>
                <w:color w:val="111111"/>
                <w:sz w:val="19"/>
              </w:rPr>
              <w:t>표 22</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21</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0</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1</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color w:val="111111"/>
                <w:sz w:val="19"/>
              </w:rPr>
              <w:t>22</w:t>
            </w:r>
          </w:p>
        </w:tc>
      </w:tr>
      <w:tr>
        <w:tc>
          <w:tcPr>
            <w:tcW w:type="dxa" w:w="2500"/>
            <w:vAlign w:val="center"/>
            <w:tcMar>
              <w:top w:w="80" w:type="dxa"/>
              <w:bottom w:w="80" w:type="dxa"/>
              <w:start w:w="120" w:type="dxa"/>
              <w:end w:w="120" w:type="dxa"/>
            </w:tcMar>
          </w:tcPr>
          <w:p>
            <w:pPr>
              <w:pStyle w:val="TableText"/>
              <w:jc w:val="left"/>
            </w:pPr>
            <w:r>
              <w:rPr>
                <w:rFonts w:ascii="Calibri" w:hAnsi="Calibri" w:eastAsia="Malgun Gothic"/>
                <w:b w:val="0"/>
                <w:color w:val="111111"/>
                <w:sz w:val="19"/>
              </w:rPr>
              <w:t>전체</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78</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69</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val="0"/>
                <w:color w:val="111111"/>
                <w:sz w:val="19"/>
              </w:rPr>
              <w:t>25</w:t>
            </w:r>
          </w:p>
        </w:tc>
        <w:tc>
          <w:tcPr>
            <w:tcW w:type="dxa" w:w="1715"/>
            <w:vAlign w:val="center"/>
            <w:tcMar>
              <w:top w:w="80" w:type="dxa"/>
              <w:bottom w:w="80" w:type="dxa"/>
              <w:start w:w="120" w:type="dxa"/>
              <w:end w:w="120" w:type="dxa"/>
            </w:tcMar>
          </w:tcPr>
          <w:p>
            <w:pPr>
              <w:pStyle w:val="TableText"/>
              <w:jc w:val="center"/>
            </w:pPr>
            <w:r>
              <w:rPr>
                <w:rFonts w:ascii="Calibri" w:hAnsi="Calibri" w:eastAsia="Malgun Gothic"/>
                <w:b/>
                <w:color w:val="111111"/>
                <w:sz w:val="19"/>
              </w:rPr>
              <w:t>172</w:t>
            </w:r>
          </w:p>
        </w:tc>
      </w:tr>
    </w:tbl>
    <w:p/>
    <w:p>
      <w:pPr>
        <w:pStyle w:val="Heading1"/>
      </w:pPr>
      <w:r>
        <w:t>1. 텍스트 PDF 질문 상세 결과</w:t>
      </w:r>
    </w:p>
    <w:p>
      <w:pPr>
        <w:pStyle w:val="Heading2"/>
      </w:pPr>
      <w:r>
        <w:t>DNV · 60문항 (정답 16 / 실패 35 / 보류 9)</w:t>
      </w:r>
    </w:p>
    <w:p>
      <w:pPr>
        <w:pStyle w:val="ItemHeading"/>
        <w:shd w:fill="E9F5EE"/>
        <w:pBdr>
          <w:left w:val="single" w:sz="18" w:space="8" w:color="246B46"/>
        </w:pBdr>
      </w:pPr>
      <w:r>
        <w:rPr>
          <w:rFonts w:ascii="Calibri" w:hAnsi="Calibri" w:eastAsia="Malgun Gothic"/>
          <w:b/>
          <w:color w:val="1F4D78"/>
          <w:sz w:val="23"/>
        </w:rPr>
        <w:t>BPDF-DNV-001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샤르피 V-노치 충격 시험 시, 2회 용접(two-run welded) 시험 조립품의 시험편은 어느 위치에서 절단해야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2회 용접 시험 조립품(two-run welded test assemblies)의 경우, 시험편은 2번째 용접 측(2nd run side) 표면에서 2mm 아래에서 절단해야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2회 용접(two-run welded) 시험 조립품의 경우, 시험편은 2차 용접(2nd run) 측에서 표면 아래 2mm 위치에서 절단해야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DNV-CP-0069.pdf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'2nd run side', '2mm below the surface'라는 핵심 수치와 조건을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DNV-CP-0069.pdf · p.13, 14</w:t>
      </w:r>
    </w:p>
    <w:p>
      <w:pPr>
        <w:pStyle w:val="ItemHeading"/>
        <w:shd w:fill="FDECEC"/>
        <w:pBdr>
          <w:left w:val="single" w:sz="18" w:space="8" w:color="9B1C1C"/>
        </w:pBdr>
      </w:pPr>
      <w:r>
        <w:rPr>
          <w:rFonts w:ascii="Calibri" w:hAnsi="Calibri" w:eastAsia="Malgun Gothic"/>
          <w:b/>
          <w:color w:val="1F4D78"/>
          <w:sz w:val="23"/>
        </w:rPr>
        <w:t>BPDF-DNV-002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선박 내 운용 경험이 부족한 제품에 대해 요구될 수 있는 환경 시험 항목에는 어떤 것들이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운영 경험이 부족한 경우 진동, 습열, 건열, 염무, 전도성 방출 및 방사성 방출 시험이 타입 테스트로 요구될 수 있습니다.</w:t>
      </w:r>
    </w:p>
    <w:p>
      <w:pPr>
        <w:pStyle w:val="FieldBody"/>
        <w:ind w:left="202" w:right="86"/>
        <w:shd w:fill="E8EEF5"/>
        <w:pBdr>
          <w:left w:val="single" w:sz="14" w:space="8" w:color="2E74B5"/>
        </w:pBdr>
      </w:pPr>
      <w:r>
        <w:rPr>
          <w:rFonts w:ascii="Calibri" w:hAnsi="Calibri" w:eastAsia="Malgun Gothic"/>
          <w:b w:val="0"/>
          <w:sz w:val="21"/>
        </w:rPr>
        <w:t>전도성 및 방사성 방출 시험은 전자 장치가 장착된 제품에만 적용됩니다.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DNV-CG-0157.pdf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'검색 근거에서 확인되지 않음'이라고 명시하며 질문에 대한 핵심 정보(진동, 습열, 건열, 염무 등)를 전혀 제공하지 못했습니다.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DNV-CP-0396.pdf · p.8, 9</w:t>
      </w:r>
    </w:p>
    <w:p>
      <w:pPr>
        <w:pStyle w:val="ItemHeading"/>
        <w:shd w:fill="E9F5EE"/>
        <w:pBdr>
          <w:left w:val="single" w:sz="18" w:space="8" w:color="246B46"/>
        </w:pBdr>
      </w:pPr>
      <w:r>
        <w:rPr>
          <w:rFonts w:ascii="Calibri" w:hAnsi="Calibri" w:eastAsia="Malgun Gothic"/>
          <w:b/>
          <w:color w:val="1F4D78"/>
          <w:sz w:val="23"/>
        </w:rPr>
        <w:t>BPDF-DNV-003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VDR의 연례 성능 시험을 수행하는 서비스 공급자가 보유해야 하는 절차 및 체크리스트 항목에는 무엇이 포함되어야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서비스 공급자는 보호 외함(라벨링 포함), 인터페이스 및 컨버터, UPS, 음향 비콘, 해제 장치, 마이크로폰, 알람/운영 패널의 상태를 포함한 점검 절차와 체크리스트를 보유해야 합니다.</w:t>
      </w:r>
    </w:p>
    <w:p>
      <w:pPr>
        <w:pStyle w:val="FieldBody"/>
        <w:ind w:left="202" w:right="86"/>
        <w:shd w:fill="E8EEF5"/>
        <w:pBdr>
          <w:left w:val="single" w:sz="14" w:space="8" w:color="2E74B5"/>
        </w:pBdr>
      </w:pPr>
      <w:r>
        <w:rPr>
          <w:rFonts w:ascii="Calibri" w:hAnsi="Calibri" w:eastAsia="Malgun Gothic"/>
          <w:b w:val="0"/>
          <w:sz w:val="21"/>
        </w:rPr>
        <w:t>최종 기록 매체에 기록된 모든 데이터의 가용성 및 제조사의 유지관리 계획에 따른 특별 항목이 포함되어야 합니다.</w:t>
      </w:r>
    </w:p>
    <w:p>
      <w:pPr>
        <w:pStyle w:val="FieldBody"/>
        <w:ind w:left="202" w:right="86"/>
        <w:shd w:fill="E8EEF5"/>
        <w:pBdr>
          <w:left w:val="single" w:sz="14" w:space="8" w:color="2E74B5"/>
        </w:pBdr>
      </w:pPr>
      <w:r>
        <w:rPr>
          <w:rFonts w:ascii="Calibri" w:hAnsi="Calibri" w:eastAsia="Malgun Gothic"/>
          <w:b w:val="0"/>
          <w:sz w:val="21"/>
        </w:rPr>
        <w:t>2014년 7월 1일 이후 설치된 장치의 경우, 성능 테스트 기능과 ECDIS 디스플레이, AIS, 롤링 모션, 구성 데이터 및 전자 항해 일지(장착 시)가 포함된 최종 기록 매체의 데이터가 포함되어야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 [9.3] 절차: 서비스 공급자는 다음 사항에 대한 연례 성능 시험 및 점검을 수행하는 방법이 명시된 문서화된 절차, 지침 및 체크리스트를 보유해야 한다:; 2) 라벨링을 포함한 모든 보호 외함의 상태; 3) 인터페이스 및 컨버터의 상태; 4) UPS의 상태; 5) 음향 비콘의 상태; 6) 해제 장치의 상태. [1]</w:t>
      </w:r>
    </w:p>
    <w:p>
      <w:pPr>
        <w:pStyle w:val="AnswerBody"/>
        <w:shd w:fill="F4F6F9"/>
        <w:numPr>
          <w:ilvl w:val="0"/>
          <w:numId w:val="10"/>
        </w:numPr>
      </w:pPr>
      <w:r>
        <w:rPr>
          <w:rFonts w:ascii="Calibri" w:hAnsi="Calibri" w:eastAsia="Malgun Gothic"/>
          <w:b w:val="0"/>
          <w:sz w:val="19"/>
        </w:rPr>
        <w:t>7) 마이크로폰의 상태; 8) 알람/조작 패널의 상태; 9) 최종 기록 매체에 기록된 모든 데이터의 가용성; 10) 해당 제조사의 유지보수 계획에 따른 특별 항목; 11) 2014년 7월 1일 이후 설치된 경우:; 12) 성능 시험을 위한 기능. [1]</w:t>
      </w:r>
    </w:p>
    <w:p>
      <w:pPr>
        <w:pStyle w:val="AnswerBody"/>
        <w:shd w:fill="F4F6F9"/>
        <w:numPr>
          <w:ilvl w:val="0"/>
          <w:numId w:val="10"/>
        </w:numPr>
      </w:pPr>
      <w:r>
        <w:rPr>
          <w:rFonts w:ascii="Calibri" w:hAnsi="Calibri" w:eastAsia="Malgun Gothic"/>
          <w:b w:val="0"/>
          <w:sz w:val="19"/>
        </w:rPr>
        <w:t>13) 최종 기록 매체에 기록된 데이터에는 ECDIS 표시, AIS, 롤링 운동, 구성 데이터 및 전자 항해 일지(장착된 경우)가 포함되어야 한다. [1]</w:t>
      </w:r>
    </w:p>
    <w:p>
      <w:pPr>
        <w:pStyle w:val="AnswerBody"/>
        <w:shd w:fill="F4F6F9"/>
        <w:numPr>
          <w:ilvl w:val="0"/>
          <w:numId w:val="10"/>
        </w:numPr>
      </w:pPr>
      <w:r>
        <w:rPr>
          <w:rFonts w:ascii="Calibri" w:hAnsi="Calibri" w:eastAsia="Malgun Gothic"/>
          <w:b w:val="0"/>
          <w:sz w:val="19"/>
        </w:rPr>
        <w:t>지침 또는 체크리스트에는 해당되는 경우 합격 기준이 포함되어야 한다. [1]</w:t>
      </w:r>
    </w:p>
    <w:p>
      <w:pPr>
        <w:pStyle w:val="AnswerBody"/>
        <w:shd w:fill="F4F6F9"/>
        <w:numPr>
          <w:ilvl w:val="0"/>
          <w:numId w:val="10"/>
        </w:numPr>
      </w:pPr>
      <w:r>
        <w:rPr>
          <w:rFonts w:ascii="Calibri" w:hAnsi="Calibri" w:eastAsia="Malgun Gothic"/>
          <w:b w:val="0"/>
          <w:sz w:val="19"/>
        </w:rPr>
        <w:t>시험 장비의 각 항목을 작동하기 위한 절차 및 지침도 보관되어야 하며 연례 검사 중에 사용 가능해야 한다.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DNV-CP-0626.pdf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사실에 포함된 모든 항목(보호 외함, 인터페이스, UPS, 음향 비콘, 해제 장치, 마이크로폰, 알람/운영 패널, 데이터 가용성, 제조사 특별 항목, 2014년 이후 설치 장치의 세부 데이터)을 정확하게 포함하고 있으며 원문과 일치함.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DNV-CP-0626.pdf · p.7</w:t>
      </w:r>
    </w:p>
    <w:p>
      <w:pPr>
        <w:pStyle w:val="ItemHeading"/>
        <w:shd w:fill="FFF6DA"/>
        <w:pBdr>
          <w:left w:val="single" w:sz="18" w:space="8" w:color="7A5A00"/>
        </w:pBdr>
      </w:pPr>
      <w:r>
        <w:rPr>
          <w:rFonts w:ascii="Calibri" w:hAnsi="Calibri" w:eastAsia="Malgun Gothic"/>
          <w:b/>
          <w:color w:val="1F4D78"/>
          <w:sz w:val="23"/>
        </w:rPr>
        <w:t>BPDF-DNV-004</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DNV-CP-0399의 형식승인(TA)은 어떤 정격의 전력 케이블과 제어·계측 회로용 케이블에 적용되나요?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정격 전압 1 kV 및 3 kV의 전력 케이블과 150/250 V (300 V) 제어 및 계측 회로용 케이블에 대한 형식승인(TA)을 제공합니다.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DNV-CP-0399의 형식승인(TA)은 정격 전압 1 kV 및 3 kV의 전력 케이블에 적용됩니다.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DNV-CP-0399는 EU 해양 장비 지침(MED) 인증을 획득하기 위한 용도로는 적용되지 않습니다.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DNV-CP-0399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전력 케이블에 대한 정격은 맞게 언급했으나, 질문의 핵심인 '제어 및 계측 회로용 케이블(150/250 V)'에 대한 정보를 누락하였습니다.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DNV-CP-0399.pdf · p.5</w:t>
      </w:r>
    </w:p>
    <w:p>
      <w:pPr>
        <w:pStyle w:val="ItemHeading"/>
        <w:shd w:fill="FDECEC"/>
        <w:pBdr>
          <w:left w:val="single" w:sz="18" w:space="8" w:color="9B1C1C"/>
        </w:pBdr>
      </w:pPr>
      <w:r>
        <w:rPr>
          <w:rFonts w:ascii="Calibri" w:hAnsi="Calibri" w:eastAsia="Malgun Gothic"/>
          <w:b/>
          <w:color w:val="1F4D78"/>
          <w:sz w:val="23"/>
        </w:rPr>
        <w:t>BPDF-DNV-005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선상 측정 완료 후 최종 보고서를 제출해야 하는 기간은 언제까지이며, 해당 보고서에 포함되어야 하는 필수 정보는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최종 보고서는 작업 종료 후 2주 이내에 원본 전자 형식 및 수정 불가능한 전자 형식(예: PDF)으로 제출해야 한다.</w:t>
      </w:r>
    </w:p>
    <w:p>
      <w:pPr>
        <w:pStyle w:val="FieldBody"/>
        <w:ind w:left="202" w:right="86"/>
        <w:shd w:fill="E8EEF5"/>
        <w:pBdr>
          <w:left w:val="single" w:sz="14" w:space="8" w:color="2E74B5"/>
        </w:pBdr>
      </w:pPr>
      <w:r>
        <w:rPr>
          <w:rFonts w:ascii="Calibri" w:hAnsi="Calibri" w:eastAsia="Malgun Gothic"/>
          <w:b w:val="0"/>
          <w:sz w:val="21"/>
        </w:rPr>
        <w:t>보고서에는 측정값 외에도 원래의 치수(scantlings), 최소 두께, 상당한 부식 한계가 포함되어야 한다.</w:t>
      </w:r>
    </w:p>
    <w:p>
      <w:pPr>
        <w:pStyle w:val="FieldBody"/>
        <w:ind w:left="202" w:right="86"/>
        <w:shd w:fill="E8EEF5"/>
        <w:pBdr>
          <w:left w:val="single" w:sz="14" w:space="8" w:color="2E74B5"/>
        </w:pBdr>
      </w:pPr>
      <w:r>
        <w:rPr>
          <w:rFonts w:ascii="Calibri" w:hAnsi="Calibri" w:eastAsia="Malgun Gothic"/>
          <w:b w:val="0"/>
          <w:sz w:val="21"/>
        </w:rPr>
        <w:t>보고서에는 해당 업체의 승인 증명서 사본이 포함되어야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선상 측정 완료 후 최종 보고서 제출 기간 및 포함 정보에 대한 내용은 검색 근거에서 확인되지 않음.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사항이 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사항이 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해당 사항이 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골드 원문에 명시된 '2주 이내 제출', '원본 및 PDF 형식', '치수/두께/부식 한계 포함', '승인 증명서 사본' 등의 핵심 정보를 모두 누락하고 확인 불가로 처리함.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DNV-CP-0620.pdf · p.8</w:t>
      </w:r>
    </w:p>
    <w:p>
      <w:pPr>
        <w:pStyle w:val="ItemHeading"/>
        <w:shd w:fill="FDECEC"/>
        <w:pBdr>
          <w:left w:val="single" w:sz="18" w:space="8" w:color="9B1C1C"/>
        </w:pBdr>
      </w:pPr>
      <w:r>
        <w:rPr>
          <w:rFonts w:ascii="Calibri" w:hAnsi="Calibri" w:eastAsia="Malgun Gothic"/>
          <w:b/>
          <w:color w:val="1F4D78"/>
          <w:sz w:val="23"/>
        </w:rPr>
        <w:t>BPDF-DNV-006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강한 비 침식 하중이 작용하는 FRP 구조물 보호용 코팅의 형식 승인을 위해 제조사가 제출해야 하는 추가 문서 목록은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제품 명칭, 변형 모델 목록 및 해당 제품들의 유형 승인 증명서 기재 여부</w:t>
      </w:r>
    </w:p>
    <w:p>
      <w:pPr>
        <w:pStyle w:val="FieldBody"/>
        <w:ind w:left="202" w:right="86"/>
        <w:shd w:fill="E8EEF5"/>
        <w:pBdr>
          <w:left w:val="single" w:sz="14" w:space="8" w:color="2E74B5"/>
        </w:pBdr>
      </w:pPr>
      <w:r>
        <w:rPr>
          <w:rFonts w:ascii="Calibri" w:hAnsi="Calibri" w:eastAsia="Malgun Gothic"/>
          <w:b w:val="0"/>
          <w:sz w:val="21"/>
        </w:rPr>
        <w:t>해당하는 경우 유효한 DNV 제조사 인증 승인(DNV-CP-0425 참조)</w:t>
      </w:r>
    </w:p>
    <w:p>
      <w:pPr>
        <w:pStyle w:val="FieldBody"/>
        <w:ind w:left="202" w:right="86"/>
        <w:shd w:fill="E8EEF5"/>
        <w:pBdr>
          <w:left w:val="single" w:sz="14" w:space="8" w:color="2E74B5"/>
        </w:pBdr>
      </w:pPr>
      <w:r>
        <w:rPr>
          <w:rFonts w:ascii="Calibri" w:hAnsi="Calibri" w:eastAsia="Malgun Gothic"/>
          <w:b w:val="0"/>
          <w:sz w:val="21"/>
        </w:rPr>
        <w:t>제품 설명(기재 내용 포함), 적용 분야 및 제한 사항, 권장 코팅 두께, 제품 사양서(데이터 시트 등), 테스트 결과 보고서, 품질 관리 및 마킹 정보</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강한 비 침식 하중이 작용하는 FRP 구조물 보호용 코팅의 형식 승인을 위해 제조사가 제출해야 하는 추가 문서 목록은 검색 근거에서 확인되지 않음. [1], [2],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사항 없음 (검색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사항 없음 (검색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[1] FRP선 규칙_2020.pdf (조항 605): 금속제 의장품의 부착 및 적층판에 하중이 작용하는 경우의 처리 방식을 규정하나, 코팅의 형식 승인을 위한 제조사의 추가 문서 제출 목록은 명시되지 않음.</w:t>
      </w:r>
    </w:p>
    <w:p>
      <w:pPr>
        <w:pStyle w:val="AnswerBody"/>
        <w:shd w:fill="F4F6F9"/>
        <w:numPr>
          <w:ilvl w:val="0"/>
          <w:numId w:val="10"/>
        </w:numPr>
      </w:pPr>
      <w:r>
        <w:rPr>
          <w:rFonts w:ascii="Calibri" w:hAnsi="Calibri" w:eastAsia="Malgun Gothic"/>
          <w:b w:val="0"/>
          <w:sz w:val="19"/>
        </w:rPr>
        <w:t>[2] 이동식 해양굴석구조물 규칙_2023.pdf: 수압시험, 하중시험(리프팅장비 및 기타 구성품), 기능시험에 관한 기준을 포함하나, FRP 코팅의 형식 승인 관련 문서는 포함되지 않음.</w:t>
      </w:r>
    </w:p>
    <w:p>
      <w:pPr>
        <w:pStyle w:val="AnswerBody"/>
        <w:shd w:fill="F4F6F9"/>
        <w:numPr>
          <w:ilvl w:val="0"/>
          <w:numId w:val="10"/>
        </w:numPr>
      </w:pPr>
      <w:r>
        <w:rPr>
          <w:rFonts w:ascii="Calibri" w:hAnsi="Calibri" w:eastAsia="Malgun Gothic"/>
          <w:b w:val="0"/>
          <w:sz w:val="19"/>
        </w:rPr>
        <w:t>[3] 2편_2025.pdf (조항 7): 시험재 및 시험편의 채취와 주강품의 기계적 성질 입증을 위한 제조자의 제안 제출에 대해 다루고 있으나, FRP 코팅 관련 사항은 포함되지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명확한 추가 문서 목록(12가지 항목)이 존재함에도 불구하고, 답변은 검색 근거에서 확인되지 않는다고 잘못된 결론을 내림.</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DNV-CP-0424.pdf · p.6</w:t>
      </w:r>
    </w:p>
    <w:p>
      <w:pPr>
        <w:pStyle w:val="ItemHeading"/>
        <w:shd w:fill="FDECEC"/>
        <w:pBdr>
          <w:left w:val="single" w:sz="18" w:space="8" w:color="9B1C1C"/>
        </w:pBdr>
      </w:pPr>
      <w:r>
        <w:rPr>
          <w:rFonts w:ascii="Calibri" w:hAnsi="Calibri" w:eastAsia="Malgun Gothic"/>
          <w:b/>
          <w:color w:val="1F4D78"/>
          <w:sz w:val="23"/>
        </w:rPr>
        <w:t>BPDF-DNV-007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인증을 받기 위해 제조사가 제출해야 하는 서류와 수행해야 하는 절차는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제조사는 생산, 시험 및 검사 시설이 가용하며 자격 있는 인원이 감독하고 있음을 보여주는 문서를 제출해야 한다.</w:t>
      </w:r>
    </w:p>
    <w:p>
      <w:pPr>
        <w:pStyle w:val="FieldBody"/>
        <w:ind w:left="202" w:right="86"/>
        <w:shd w:fill="E8EEF5"/>
        <w:pBdr>
          <w:left w:val="single" w:sz="14" w:space="8" w:color="2E74B5"/>
        </w:pBdr>
      </w:pPr>
      <w:r>
        <w:rPr>
          <w:rFonts w:ascii="Calibri" w:hAnsi="Calibri" w:eastAsia="Malgun Gothic"/>
          <w:b w:val="0"/>
          <w:sz w:val="21"/>
        </w:rPr>
        <w:t>DNV 대표자가 참관하는 테스트 프로그램(test programme)을 수행하고 그 결과를 제출해야 한다.</w:t>
      </w:r>
    </w:p>
    <w:p>
      <w:pPr>
        <w:pStyle w:val="FieldBody"/>
        <w:ind w:left="202" w:right="86"/>
        <w:shd w:fill="E8EEF5"/>
        <w:pBdr>
          <w:left w:val="single" w:sz="14" w:space="8" w:color="2E74B5"/>
        </w:pBdr>
      </w:pPr>
      <w:r>
        <w:rPr>
          <w:rFonts w:ascii="Calibri" w:hAnsi="Calibri" w:eastAsia="Malgun Gothic"/>
          <w:b w:val="0"/>
          <w:sz w:val="21"/>
        </w:rPr>
        <w:t>초기 승인 과정에는 제품 설명, 제조 경로, 검사 및 시험 절차, 품질 시스템 등의 문서 검토와 테스트 계획의 수락이 포함된다.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검토를 용이하게 하기 위해 제조사는 다음 목록에 따라 문서 번호를 부여해야 한다: 1) 형식 승인 증명서에 기재될 제품명(등급) 및 포함되는 변형 목록, 2) 적용 가능한 규칙 및 표준 참조를 포함한 승인 근거, 3) 설계, 적층 구조, 재료 사양 등을 포함한 제품 사양/설명, 4) 제품의 적용 분야 및 운용 제한 사항, 5) 표준 운영 절차(SOP)를 포함한 생산 공정 설명, 6) 품질 보증 시스템 설명 또는 ISO 9001 인증서 사본, 7) 선박에 설치될 구동축/플렉시블 커플링을 위한 품질 계획, 8) 표준 및 방법 등을 참조한 테스트 결과(기존 수행 시험), 9) 제품 마킹 또는 포장에 관한 정보, 10) 가용 시의 운항 경험 정보, 11) 완료 시 제출할 입회 형식 시험 결과 및 DNV 지역 사무소의 초기 평가 보고서, 12) 교정 증명서를 포함한 테스트 및 측정 장비 목록.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제조사는 검토를 용이하게 하기 위해 제공된 12가지 항목에 따라 문서 번호를 부여하여 제출해야 한다. [1]</w:t>
      </w:r>
    </w:p>
    <w:p>
      <w:pPr>
        <w:pStyle w:val="AnswerBody"/>
        <w:shd w:fill="F4F6F9"/>
        <w:numPr>
          <w:ilvl w:val="0"/>
          <w:numId w:val="10"/>
        </w:numPr>
      </w:pPr>
      <w:r>
        <w:rPr>
          <w:rFonts w:ascii="Calibri" w:hAnsi="Calibri" w:eastAsia="Malgun Gothic"/>
          <w:b w:val="0"/>
          <w:sz w:val="19"/>
        </w:rPr>
        <w:t>형식 승인(TA)의 기초가 되는 문서는 신청자의 사업소 내에서 선급 검사관이 쉽게 접근할 수 있는 상태로 유지되어야 한다.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DNV-CP-0093.pdf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골드 원문(DNV-CP-0346)의 내용이 아닌 다른 문서(DNV-CP-0093)의 내용을 바탕으로 작성되었으며, 특히 12가지 세부 항목은 골드 사실에 포함된 '시설/인력 증명', '테스트 프로그램 수행', '초기 승인 절차'와 일치하지 않는 전혀 다른 구체적 요구사항을 나열하고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DNV-CP-0346.pdf · p.8</w:t>
      </w:r>
    </w:p>
    <w:p>
      <w:pPr>
        <w:pStyle w:val="ItemHeading"/>
        <w:shd w:fill="FDECEC"/>
        <w:pBdr>
          <w:left w:val="single" w:sz="18" w:space="8" w:color="9B1C1C"/>
        </w:pBdr>
      </w:pPr>
      <w:r>
        <w:rPr>
          <w:rFonts w:ascii="Calibri" w:hAnsi="Calibri" w:eastAsia="Malgun Gothic"/>
          <w:b/>
          <w:color w:val="1F4D78"/>
          <w:sz w:val="23"/>
        </w:rPr>
        <w:t>BPDF-DNV-008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소음 및 진동 측정 운영자가 갖추어야 할 자격 요건은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운영자는 소음 및 진동 분야, 측정 장비 취급에 대한 지식을 보유해야 하며, ISO 18436-2에 따른 최소 Category I 인증을 보유하는 것이 권장됩니다.</w:t>
      </w:r>
    </w:p>
    <w:p>
      <w:pPr>
        <w:pStyle w:val="FieldBody"/>
        <w:ind w:left="202" w:right="86"/>
        <w:shd w:fill="E8EEF5"/>
        <w:pBdr>
          <w:left w:val="single" w:sz="14" w:space="8" w:color="2E74B5"/>
        </w:pBdr>
      </w:pPr>
      <w:r>
        <w:rPr>
          <w:rFonts w:ascii="Calibri" w:hAnsi="Calibri" w:eastAsia="Malgun Gothic"/>
          <w:b w:val="0"/>
          <w:sz w:val="21"/>
        </w:rPr>
        <w:t>운영자는 선박의 운항 상태를 확인하기 위해 선박 기계 및 조종 시스템에 대한 충분한 지식을 갖추어야 합니다.</w:t>
      </w:r>
    </w:p>
    <w:p>
      <w:pPr>
        <w:pStyle w:val="FieldBody"/>
        <w:ind w:left="202" w:right="86"/>
        <w:shd w:fill="E8EEF5"/>
        <w:pBdr>
          <w:left w:val="single" w:sz="14" w:space="8" w:color="2E74B5"/>
        </w:pBdr>
      </w:pPr>
      <w:r>
        <w:rPr>
          <w:rFonts w:ascii="Calibri" w:hAnsi="Calibri" w:eastAsia="Malgun Gothic"/>
          <w:b w:val="0"/>
          <w:sz w:val="21"/>
        </w:rPr>
        <w:t>운영자는 최소 1년 이상의 경력과 COMF(V-crn)를 위한 최소 3회의 실무 교육을 완료해야 하며, 내부 교육이 불가능할 경우 외부 전문 인력을 통해 교육을 받아야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골드 원문에 명시된 자격 요건(지식, 인증, 경력 등)을 전혀 제공하지 못하고 검색 결과가 없다고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DNV-CP-0633.pdf · p.8</w:t>
      </w:r>
    </w:p>
    <w:p>
      <w:pPr>
        <w:pStyle w:val="ItemHeading"/>
        <w:shd w:fill="FDECEC"/>
        <w:pBdr>
          <w:left w:val="single" w:sz="18" w:space="8" w:color="9B1C1C"/>
        </w:pBdr>
      </w:pPr>
      <w:r>
        <w:rPr>
          <w:rFonts w:ascii="Calibri" w:hAnsi="Calibri" w:eastAsia="Malgun Gothic"/>
          <w:b/>
          <w:color w:val="1F4D78"/>
          <w:sz w:val="23"/>
        </w:rPr>
        <w:t>BPDF-DNV-009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소재(starting material) 제조 시 승인 보고서에 포함되어야 하는 기록이나 데이터에는 어떤 항목들이 포함되어야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공급업체, 제품 형태 및 치수, 래들 분석으로 결정된 화학 성분, 사전 오스테나이트 결정립 크기가 포함되어야 합니다.</w:t>
      </w:r>
    </w:p>
    <w:p>
      <w:pPr>
        <w:pStyle w:val="FieldBody"/>
        <w:ind w:left="202" w:right="86"/>
        <w:shd w:fill="E8EEF5"/>
        <w:pBdr>
          <w:left w:val="single" w:sz="14" w:space="8" w:color="2E74B5"/>
        </w:pBdr>
      </w:pPr>
      <w:r>
        <w:rPr>
          <w:rFonts w:ascii="Calibri" w:hAnsi="Calibri" w:eastAsia="Malgun Gothic"/>
          <w:b w:val="0"/>
          <w:sz w:val="21"/>
        </w:rPr>
        <w:t>비금속 개재물 검사, 편석에 대한 매크로 에칭, 가공성 테스트(있는 경우), 주요 공정 단계 및 검사 지점을 보여주는 흐름도가 포함되어야 합니다.</w:t>
      </w:r>
    </w:p>
    <w:p>
      <w:pPr>
        <w:pStyle w:val="FieldBody"/>
        <w:ind w:left="202" w:right="86"/>
        <w:shd w:fill="E8EEF5"/>
        <w:pBdr>
          <w:left w:val="single" w:sz="14" w:space="8" w:color="2E74B5"/>
        </w:pBdr>
      </w:pPr>
      <w:r>
        <w:rPr>
          <w:rFonts w:ascii="Calibri" w:hAnsi="Calibri" w:eastAsia="Malgun Gothic"/>
          <w:b w:val="0"/>
          <w:sz w:val="21"/>
        </w:rPr>
        <w:t>열처리로 상세 정보, 교정 기록, 열처리 절차(적재 방식, 온도, 유지 시간 등), 기계적 시험 및 비파괴 검사 절차, 용접 수리 절차 등이 포함되어야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 제품의 유형; 2) 제조 요약의 일부로서의 제조 방법; 3) 적용 가능한 제품 크기 범위 (치수 및 중량). [1]</w:t>
      </w:r>
    </w:p>
    <w:p>
      <w:pPr>
        <w:pStyle w:val="AnswerBody"/>
        <w:shd w:fill="F4F6F9"/>
        <w:numPr>
          <w:ilvl w:val="0"/>
          <w:numId w:val="10"/>
        </w:numPr>
      </w:pPr>
      <w:r>
        <w:rPr>
          <w:rFonts w:ascii="Calibri" w:hAnsi="Calibri" w:eastAsia="Malgun Gothic"/>
          <w:b w:val="0"/>
          <w:sz w:val="19"/>
        </w:rPr>
        <w:t>4) 적용 가능한 등급 및 템퍼(temper); 5) 인도 조건; 6) 소재, 그 형상 및 재료 증명서. [1]</w:t>
      </w:r>
    </w:p>
    <w:p>
      <w:pPr>
        <w:pStyle w:val="AnswerBody"/>
        <w:shd w:fill="F4F6F9"/>
        <w:numPr>
          <w:ilvl w:val="0"/>
          <w:numId w:val="10"/>
        </w:numPr>
      </w:pPr>
      <w:r>
        <w:rPr>
          <w:rFonts w:ascii="Calibri" w:hAnsi="Calibri" w:eastAsia="Malgun Gothic"/>
          <w:b w:val="0"/>
          <w:sz w:val="19"/>
        </w:rPr>
        <w:t>7) 해당 화학 성분, 기계적 성질 및 열처리에 관한 DNV 규정 참조. 협회와 합의된 경우, 인정된 표준을 참조할 수 있음.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제조사는 요청 시 검사관에게 압성 제품에 대한 성형 기록을 제시해야 한다. [2], [3]</w:t>
      </w:r>
    </w:p>
    <w:p>
      <w:pPr>
        <w:pStyle w:val="AnswerBody"/>
        <w:shd w:fill="F4F6F9"/>
        <w:numPr>
          <w:ilvl w:val="0"/>
          <w:numId w:val="10"/>
        </w:numPr>
      </w:pPr>
      <w:r>
        <w:rPr>
          <w:rFonts w:ascii="Calibri" w:hAnsi="Calibri" w:eastAsia="Malgun Gothic"/>
          <w:b w:val="0"/>
          <w:sz w:val="19"/>
        </w:rPr>
        <w:t>제조사는 모든 열처리를 기록해야 하며, 해당 기록은 사용된 용광로(furnace), 용광로 충전량(charge), 날짜 및 열처리 매개변수를 식별할 수 있도록 추적 가능해야 하며, 요청 시 검사관에게 제시되어야 한다. [2], [3]</w:t>
      </w:r>
    </w:p>
    <w:p>
      <w:pPr>
        <w:pStyle w:val="AnswerBody"/>
        <w:shd w:fill="F4F6F9"/>
        <w:numPr>
          <w:ilvl w:val="0"/>
          <w:numId w:val="10"/>
        </w:numPr>
      </w:pPr>
      <w:r>
        <w:rPr>
          <w:rFonts w:ascii="Calibri" w:hAnsi="Calibri" w:eastAsia="Malgun Gothic"/>
          <w:b w:val="0"/>
          <w:sz w:val="19"/>
        </w:rPr>
        <w:t>제조사는 용접 식별 번호, 날짜, 용접사, WPS, 용접재료 배치 번호 및 해당되는 경우 PWHT를 포함하여 생산 용접에 대한 세부 정보를 제공하는 기록과 모든 용접 수리 기록을 유지해야 하며, 이는 요청 시 검사관에게 제시되어야 한다. [2], [3]</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DNV-CP-0248.pdf [1]</w:t>
      </w:r>
    </w:p>
    <w:p>
      <w:pPr>
        <w:pStyle w:val="AnswerBody"/>
        <w:shd w:fill="F4F6F9"/>
        <w:numPr>
          <w:ilvl w:val="0"/>
          <w:numId w:val="10"/>
        </w:numPr>
      </w:pPr>
      <w:r>
        <w:rPr>
          <w:rFonts w:ascii="Calibri" w:hAnsi="Calibri" w:eastAsia="Malgun Gothic"/>
          <w:b w:val="0"/>
          <w:sz w:val="19"/>
        </w:rPr>
        <w:t>DNV-RU-SHIP-Pt2.pdf [2],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있음 · 답변이 질문에서 요구한 '소재(starting material) 제조 시 승인 보고서 포함 항목'에 대한 골드 사실을 제대로 반영하지 못하고 있습니다. 특히 화학 성분, 결정립 크기, 비금속 개재물 등 핵심 요건이 누락되었으며, 답변의 1번 항목은 질문과 무관한 일반적인 제품 사양 정보를 나열하고 있어 내용적 일치도가 매우 낮습니다.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DNV-CP-0256.pdf · p.12</w:t>
      </w:r>
    </w:p>
    <w:p>
      <w:pPr>
        <w:pStyle w:val="ItemHeading"/>
        <w:shd w:fill="FDECEC"/>
        <w:pBdr>
          <w:left w:val="single" w:sz="18" w:space="8" w:color="9B1C1C"/>
        </w:pBdr>
      </w:pPr>
      <w:r>
        <w:rPr>
          <w:rFonts w:ascii="Calibri" w:hAnsi="Calibri" w:eastAsia="Malgun Gothic"/>
          <w:b/>
          <w:color w:val="1F4D78"/>
          <w:sz w:val="23"/>
        </w:rPr>
        <w:t>BPDF-DNV-010</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설치 후 테스트 시, 두 개의 독립적인 전원 중 하나로 간주되어 대체 전력을 제공하는 CGS는 어떤 조건에서 테스트되어야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두 개의 독립적인 전원 중 하나로 간주되어 대체 전력을 제공하는 CGS는 정상 항해 부하(normal seagoing load)에서 테스트되어야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추진 동력이 추진기(thruster unit)당 2,500 kW를 초과하는 경우, 45초 이내에 자동으로 제공되는 대체 전원(alternative power supply)이 마련되어야 하며, 이는 비상 전력원 또는 조타 장치 구역에 위치한 독립적인 전원 중 하나여야 합니다. [1]</w:t>
      </w:r>
    </w:p>
    <w:p>
      <w:pPr>
        <w:pStyle w:val="AnswerBody"/>
        <w:shd w:fill="F4F6F9"/>
        <w:numPr>
          <w:ilvl w:val="0"/>
          <w:numId w:val="10"/>
        </w:numPr>
      </w:pPr>
      <w:r>
        <w:rPr>
          <w:rFonts w:ascii="Calibri" w:hAnsi="Calibri" w:eastAsia="Malgun Gothic"/>
          <w:b w:val="0"/>
          <w:sz w:val="19"/>
        </w:rPr>
        <w:t>설치된 독립적 전원이 해당 목적(조타 장치 및 관련 제어 시스템, 조타 장치 응답 표시기 공급)으로만 사용되어야 하는 경우, 이는 단일 전원으로 간주됩니다. [1]</w:t>
      </w:r>
    </w:p>
    <w:p>
      <w:pPr>
        <w:pStyle w:val="AnswerBody"/>
        <w:shd w:fill="F4F6F9"/>
        <w:numPr>
          <w:ilvl w:val="0"/>
          <w:numId w:val="10"/>
        </w:numPr>
      </w:pPr>
      <w:r>
        <w:rPr>
          <w:rFonts w:ascii="Calibri" w:hAnsi="Calibri" w:eastAsia="Malgun Gothic"/>
          <w:b w:val="0"/>
          <w:sz w:val="19"/>
        </w:rPr>
        <w:t>10,000 총톤수(gross tonnage) 이상의 선박에서 대체 전원은 최소 30분 동안의 연속 운전 용량을 가져야 하며, 그 외의 선박에서는 최소 10분의 용량을 가져야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 (CGS라는 약어의 구체적인 정의나 CGS 단독에 대한 특정 테스트 조건은 명시되지 않았으며, 조타 장치용 대체 전원(alternative power supply)에 관한 일반 규정만 확인됨.)</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DNV-RU-SHIP-Pt4.pdf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질문은 CGS의 테스트 조건(normal seagoing load)을 묻고 있으나, 답변은 조타 장치 관련 대체 전원의 용량 및 시간 규정 등 전혀 다른 내용을 기술하고 있습니다. 또한 질문에 대한 핵심 정보가 포함되지 않았습니다.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DNV-CG-0588.pdf · p.12</w:t>
      </w:r>
    </w:p>
    <w:p>
      <w:pPr>
        <w:pStyle w:val="ItemHeading"/>
        <w:shd w:fill="FDECEC"/>
        <w:pBdr>
          <w:left w:val="single" w:sz="18" w:space="8" w:color="9B1C1C"/>
        </w:pBdr>
      </w:pPr>
      <w:r>
        <w:rPr>
          <w:rFonts w:ascii="Calibri" w:hAnsi="Calibri" w:eastAsia="Malgun Gothic"/>
          <w:b/>
          <w:color w:val="1F4D78"/>
          <w:sz w:val="23"/>
        </w:rPr>
        <w:t>BPDF-DNV-011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선체 내부에서 수행하는 검사 시, 내측 접근이 불가능하여 추가 문서나 외부 조사가 필요한 항목에는 어떤 것들이 있는가?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내부에서 접근이 불가능한 부속물 및 장비(빌지 킬, 문풀, 페어리드 파운데이션, 앵커 랙 등)는 충분히 낮은 위험성을 입증하는 문서가 필요하며, 누락 시 ROV 또는 잠수 검사가 요구될 수 있다.</w:t>
      </w:r>
    </w:p>
    <w:p>
      <w:pPr>
        <w:pStyle w:val="FieldBody"/>
        <w:ind w:left="202" w:right="86"/>
        <w:shd w:fill="E8EEF5"/>
        <w:pBdr>
          <w:left w:val="single" w:sz="14" w:space="8" w:color="2E74B5"/>
        </w:pBdr>
      </w:pPr>
      <w:r>
        <w:rPr>
          <w:rFonts w:ascii="Calibri" w:hAnsi="Calibri" w:eastAsia="Malgun Gothic"/>
          <w:b w:val="0"/>
          <w:sz w:val="21"/>
        </w:rPr>
        <w:t>내부에서 준비되지 않은 경우 해수 유입구 및 시체스트(sea chests)에 대한 검사가 요구될 수 있다.</w:t>
      </w:r>
    </w:p>
    <w:p>
      <w:pPr>
        <w:pStyle w:val="FieldBody"/>
        <w:ind w:left="202" w:right="86"/>
        <w:shd w:fill="E8EEF5"/>
        <w:pBdr>
          <w:left w:val="single" w:sz="14" w:space="8" w:color="2E74B5"/>
        </w:pBdr>
      </w:pPr>
      <w:r>
        <w:rPr>
          <w:rFonts w:ascii="Calibri" w:hAnsi="Calibri" w:eastAsia="Malgun Gothic"/>
          <w:b w:val="0"/>
          <w:sz w:val="21"/>
        </w:rPr>
        <w:t>코팅 손상이나 국부적 부식과 같이 내부에서 쉽게 확인되지 않는 영역도 추가 문서가 필요할 수 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휴대식 장비 및 부착물을 포함한 접근설비의 배치는 매년 검사받아야 하며, 해당 내용은 선체구조 접근지침서(Ships Structure Access Manual) 2편에 기록되어야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4편_2025.pdf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질문에서 요구한 '내측 접근 불가 시 필요한 추가 문서/조사 항목'에 대해 전혀 언급하지 않고, 관련 없는 '휴대식 장비 및 부착물 배치'와 '선체구조 접근지침서 2편'이라는 허위 정보를 생성함.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DNV-CG-0608.pdf · p.17</w:t>
      </w:r>
    </w:p>
    <w:p>
      <w:pPr>
        <w:pStyle w:val="ItemHeading"/>
        <w:shd w:fill="E9F5EE"/>
        <w:pBdr>
          <w:left w:val="single" w:sz="18" w:space="8" w:color="246B46"/>
        </w:pBdr>
      </w:pPr>
      <w:r>
        <w:rPr>
          <w:rFonts w:ascii="Calibri" w:hAnsi="Calibri" w:eastAsia="Malgun Gothic"/>
          <w:b/>
          <w:color w:val="1F4D78"/>
          <w:sz w:val="23"/>
        </w:rPr>
        <w:t>BPDF-DNV-012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높은 동적 응력 범위(high dynamic stress range)를 받는 볼트 연결부의 피로 손상을 줄이기 위한 예압(pre-load) 조건과 고려 사항은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높은 동적 응력 범위에 노출되는 볼트 연결부는 피로 손상을 줄이기 위해 최소 70%의 항복 강도(ReHb)까지 예압되어야 하며, 볼트 하중을 고려할 때 이 예압이 반영되어야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높은 동적 응력 범위(high dynamic stress range)를 받는 볼트 연결부는 피로 손상을 줄이기 위해 볼트 항복 강도($R_{eHb}$)의 최소 70%까지 예압(pre-load)되어야 한다. [1]</w:t>
      </w:r>
    </w:p>
    <w:p>
      <w:pPr>
        <w:pStyle w:val="AnswerBody"/>
        <w:shd w:fill="F4F6F9"/>
        <w:numPr>
          <w:ilvl w:val="0"/>
          <w:numId w:val="10"/>
        </w:numPr>
      </w:pPr>
      <w:r>
        <w:rPr>
          <w:rFonts w:ascii="Calibri" w:hAnsi="Calibri" w:eastAsia="Malgun Gothic"/>
          <w:b w:val="0"/>
          <w:sz w:val="19"/>
        </w:rPr>
        <w:t>해당 볼트의 하중을 고려할 때, 예압이 반영되어야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DNV-OS-C101, Clause 4.8.1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원문의 핵심 수치(70% ReHb)와 예압 반영 의무를 정확하게 포함하고 있으며, 질문에 대한 직접적인 답변을 제공함.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DNV-OS-C101.pdf · p.106</w:t>
      </w:r>
    </w:p>
    <w:p>
      <w:pPr>
        <w:pStyle w:val="ItemHeading"/>
        <w:shd w:fill="FDECEC"/>
        <w:pBdr>
          <w:left w:val="single" w:sz="18" w:space="8" w:color="9B1C1C"/>
        </w:pBdr>
      </w:pPr>
      <w:r>
        <w:rPr>
          <w:rFonts w:ascii="Calibri" w:hAnsi="Calibri" w:eastAsia="Malgun Gothic"/>
          <w:b/>
          <w:color w:val="1F4D78"/>
          <w:sz w:val="23"/>
        </w:rPr>
        <w:t>BPDF-DNV-013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SOLAS Ch.II-1 Reg.7-2.2에 따라 유체 평형이 60초 이하로 달성될 경우 중간 단계의 침수를 즉각적인 것으로 간주할 수 있는 공식 해석과 관련하여, 최근 논의가 되고 있는 두 가지 주요 이슈는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구조적 덕트(structural ducts)에 의한 교차 침수와 공기 파이프에 의한 압력 손실 계산</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전혀 제공하지 못하고 '근거를 찾지 못했다'고 응답하였으므로 모든 점수가 0점입니다.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DNV-CG-0580.pdf · p.5</w:t>
      </w:r>
    </w:p>
    <w:p>
      <w:pPr>
        <w:pStyle w:val="ItemHeading"/>
        <w:shd w:fill="FDECEC"/>
        <w:pBdr>
          <w:left w:val="single" w:sz="18" w:space="8" w:color="9B1C1C"/>
        </w:pBdr>
      </w:pPr>
      <w:r>
        <w:rPr>
          <w:rFonts w:ascii="Calibri" w:hAnsi="Calibri" w:eastAsia="Malgun Gothic"/>
          <w:b/>
          <w:color w:val="1F4D78"/>
          <w:sz w:val="23"/>
        </w:rPr>
        <w:t>BPDF-DNV-014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DNV에 제출하는 테스트 계획서(test plan)에는 어떤 내용들이 포함되어야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테스트 범위, 세척 대상 구역, 미세 및 거대 오염 제거 효율 평가를 위한 대표 영역, 샘플링 및 분석 방법, 표준 운영 절차(SOP) 및 품질 시스템이 포함되어야 합니다.</w:t>
      </w:r>
    </w:p>
    <w:p>
      <w:pPr>
        <w:pStyle w:val="FieldBody"/>
        <w:ind w:left="202" w:right="86"/>
        <w:shd w:fill="E8EEF5"/>
        <w:pBdr>
          <w:left w:val="single" w:sz="14" w:space="8" w:color="2E74B5"/>
        </w:pBdr>
      </w:pPr>
      <w:r>
        <w:rPr>
          <w:rFonts w:ascii="Calibri" w:hAnsi="Calibri" w:eastAsia="Malgun Gothic"/>
          <w:b w:val="0"/>
          <w:sz w:val="21"/>
        </w:rPr>
        <w:t>대표 샘플 채취 방법과 환경, 보건 및 안전(EHS) 계획이 포함되어야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FMEA 분석 결과의 검증을 위한 테스트 계획은 중복 설계 의도, 최악의 고장 시나리오 설계 의도, 주어진 시간 내 단일 고장 허용 여부 및 합격 기준, 방벽 및 기타 보상 조치, 필요한 경우 독립성 및 격리 요구사항을 포함하여 분석과 결론을 검증해야 한다.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수리 범위에 따라 DNV는 테스트 계획의 축소를 승인할 수 있다. [1], [2]</w:t>
      </w:r>
    </w:p>
    <w:p>
      <w:pPr>
        <w:pStyle w:val="AnswerBody"/>
        <w:shd w:fill="F4F6F9"/>
        <w:numPr>
          <w:ilvl w:val="0"/>
          <w:numId w:val="10"/>
        </w:numPr>
      </w:pPr>
      <w:r>
        <w:rPr>
          <w:rFonts w:ascii="Calibri" w:hAnsi="Calibri" w:eastAsia="Malgun Gothic"/>
          <w:b w:val="0"/>
          <w:sz w:val="19"/>
        </w:rPr>
        <w:t>분리가 필요한 경우, 분리 분석의 결론을 뒷받침하기 위해 설치 절차 문서화 및 검사 등의 다른 검증 활동과 연계된 일련의 분리 테스트가 준비되고 기록되어야 한다. [3]</w:t>
      </w:r>
    </w:p>
    <w:p>
      <w:pPr>
        <w:pStyle w:val="AnswerBody"/>
        <w:shd w:fill="F4F6F9"/>
        <w:numPr>
          <w:ilvl w:val="0"/>
          <w:numId w:val="10"/>
        </w:numPr>
      </w:pPr>
      <w:r>
        <w:rPr>
          <w:rFonts w:ascii="Calibri" w:hAnsi="Calibri" w:eastAsia="Malgun Gothic"/>
          <w:b w:val="0"/>
          <w:sz w:val="19"/>
        </w:rPr>
        <w:t>FMEA 테스트 수행 후, 실제 설계와 실제 테스트 결과를 반영하여 FMEA 테스트 프로그램이 업데이트되어야 하며, 여기에는 오류 수정, 테스트 중 발견 사항에 따른 DP 시스템 수정 사항, 실제 결과 및 결론 등이 포함되어야 한다. [3]</w:t>
      </w:r>
    </w:p>
    <w:p>
      <w:pPr>
        <w:pStyle w:val="AnswerBody"/>
        <w:shd w:fill="F4F6F9"/>
        <w:numPr>
          <w:ilvl w:val="0"/>
          <w:numId w:val="10"/>
        </w:numPr>
      </w:pPr>
      <w:r>
        <w:rPr>
          <w:rFonts w:ascii="Calibri" w:hAnsi="Calibri" w:eastAsia="Malgun Gothic"/>
          <w:b w:val="0"/>
          <w:sz w:val="19"/>
        </w:rPr>
        <w:t>업데이트된 FMEA 및 FMEA 테스트 프로그램은 FMEA 보고서로 취합되어 DNV에 정보 제공용으로 제출되어야 하며, 선내에 보관되어야 한다. [3]</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DNV-RU-INV-Pt7.pdf [1]</w:t>
      </w:r>
    </w:p>
    <w:p>
      <w:pPr>
        <w:pStyle w:val="AnswerBody"/>
        <w:shd w:fill="F4F6F9"/>
        <w:numPr>
          <w:ilvl w:val="0"/>
          <w:numId w:val="10"/>
        </w:numPr>
      </w:pPr>
      <w:r>
        <w:rPr>
          <w:rFonts w:ascii="Calibri" w:hAnsi="Calibri" w:eastAsia="Malgun Gothic"/>
          <w:b w:val="0"/>
          <w:sz w:val="19"/>
        </w:rPr>
        <w:t>DNV-RU-NAV-Pt8.pdf [2]</w:t>
      </w:r>
    </w:p>
    <w:p>
      <w:pPr>
        <w:pStyle w:val="AnswerBody"/>
        <w:shd w:fill="F4F6F9"/>
        <w:numPr>
          <w:ilvl w:val="0"/>
          <w:numId w:val="10"/>
        </w:numPr>
      </w:pPr>
      <w:r>
        <w:rPr>
          <w:rFonts w:ascii="Calibri" w:hAnsi="Calibri" w:eastAsia="Malgun Gothic"/>
          <w:b w:val="0"/>
          <w:sz w:val="19"/>
        </w:rPr>
        <w:t>DNV-RU-SHIP-Pt6.pdf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질문(세척 효율 테스트 계획)과 전혀 무관한 FMEA 분석 및 DP 시스템 관련 내용을 기술하고 있으며, 골드 원문의 핵심 내용인 세척 범위, 샘플링 방법, EHS 계획 등을 전혀 포함하지 않음.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DNV-CP-0663.pdf · p.15</w:t>
      </w:r>
    </w:p>
    <w:p>
      <w:pPr>
        <w:pStyle w:val="ItemHeading"/>
        <w:shd w:fill="E9F5EE"/>
        <w:pBdr>
          <w:left w:val="single" w:sz="18" w:space="8" w:color="246B46"/>
        </w:pBdr>
      </w:pPr>
      <w:r>
        <w:rPr>
          <w:rFonts w:ascii="Calibri" w:hAnsi="Calibri" w:eastAsia="Malgun Gothic"/>
          <w:b/>
          <w:color w:val="1F4D78"/>
          <w:sz w:val="23"/>
        </w:rPr>
        <w:t>BPDF-DNV-015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DNV-CP-0147 문서에 따르면, 점진적 커플링(progressive couplings)의 경우 선형 커플링보다 더 광범위한 시험이 필요한 이유는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점진적 커플링은 인가된 토크에 따라 강성이 크게 증가하며, 평균 토크, 진동 토크, 주파수, 온도, 영구 변형이 서로 상호 의존적이기 때문에 더 광범적(extensive)인 시험이 필요합니다.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점진적 커플링(progressive couplings)은 인가된 토크에 따라 강성(stiffness)이 현저하게 증가하는 커플링을 의미하며, 이 경우 매개변수(평균 토크, 진동 토크, 주파수, 온도, 영구 변형량)들이 서로 상호 의존적이기 때문에 선형 커플링보다 더 광범위한 시험이 필요합니다.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DNV-CP-0147, 조항 2.5 (Progressive couplings)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'강성 증가'와 '매개변수 간 상호 의존성'이라는 핵심 이유를 정확하게 포함하고 있으며, 관련 조항도 올바르게 인용함.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DNV-CP-0147.pdf · p.8, 9</w:t>
      </w:r>
    </w:p>
    <w:p>
      <w:pPr>
        <w:pStyle w:val="ItemHeading"/>
        <w:shd w:fill="E9F5EE"/>
        <w:pBdr>
          <w:left w:val="single" w:sz="18" w:space="8" w:color="246B46"/>
        </w:pBdr>
      </w:pPr>
      <w:r>
        <w:rPr>
          <w:rFonts w:ascii="Calibri" w:hAnsi="Calibri" w:eastAsia="Malgun Gothic"/>
          <w:b/>
          <w:color w:val="1F4D78"/>
          <w:sz w:val="23"/>
        </w:rPr>
        <w:t>BPDF-DNV-016</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따르면, 비상 시 개인용 장비(smoke hood, heat resistant gloves, source of light)를 반드시 grab bag에 넣어 보관해야 하는 요건이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각 인원에게 smoke hood, 내열 장갑(heat resistant gloves), 광원(source of light)을 제공해야 하지만, 이를 반드시 grab bag에 넣어 보관해야 한다는 요구사항은 없습니다.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비상 시 개인용 장비(smoke hood, heat resistant gloves, source of light)를 grab bag에 넣어야 한다는 요구사항은 없습니다.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DNV-SI-0167.pdf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사실과 정확히 일치하며, grab bag 보관 의무가 없다는 핵심 내용을 명확하게 전달함.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DNV-SI-0167.pdf · p.29</w:t>
      </w:r>
    </w:p>
    <w:p>
      <w:pPr>
        <w:pStyle w:val="ItemHeading"/>
        <w:shd w:fill="FDECEC"/>
        <w:pBdr>
          <w:left w:val="single" w:sz="18" w:space="8" w:color="9B1C1C"/>
        </w:pBdr>
      </w:pPr>
      <w:r>
        <w:rPr>
          <w:rFonts w:ascii="Calibri" w:hAnsi="Calibri" w:eastAsia="Malgun Gothic"/>
          <w:b/>
          <w:color w:val="1F4D78"/>
          <w:sz w:val="23"/>
        </w:rPr>
        <w:t>BPDF-DNV-017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선박의 최대 중간 흘수(maximum draught midship)를 계산하고 확인할 때 허용되지 않는 방식은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단순히 등가 흘수(equivalent draught, 즉 LCF에서의 흘수)만 확인하는 것은 허용되지 않습니다.</w:t>
      </w:r>
    </w:p>
    <w:p>
      <w:pPr>
        <w:pStyle w:val="FieldBody"/>
        <w:ind w:left="202" w:right="86"/>
        <w:shd w:fill="E8EEF5"/>
        <w:pBdr>
          <w:left w:val="single" w:sz="14" w:space="8" w:color="2E74B5"/>
        </w:pBdr>
      </w:pPr>
      <w:r>
        <w:rPr>
          <w:rFonts w:ascii="Calibri" w:hAnsi="Calibri" w:eastAsia="Malgun Gothic"/>
          <w:b w:val="0"/>
          <w:sz w:val="21"/>
        </w:rPr>
        <w:t>최대 중간 흘수는 통상적으로 LBP/2 또는 만재흘수선 표시 위치에서 계산되고 확인되어야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선박에 여러 개의 적재선(load line) 마크가 할당된 경우, 소프트웨어에서 미리 설치된 마크 간을 전환하는 기능을 사용하여 최대 중간 흘수(maximum draught midship)를 계산하거나 확인하는 방식은 허용되지 않습니다.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DNV-RU-SHIP-Pt6.pdf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'마크 간 전환 기능 사용'을 허용되지 않는 방식으로 설명하고 있으나, 골드 원문은 '단순히 등가 흘수(equivalent draught)만 확인하는 것'을 금지하고 있음. 답변이 사실과 전혀 다른 내용을 생성함.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DNV-CG-0053.pdf · p.8</w:t>
      </w:r>
    </w:p>
    <w:p>
      <w:pPr>
        <w:pStyle w:val="ItemHeading"/>
        <w:shd w:fill="FDECEC"/>
        <w:pBdr>
          <w:left w:val="single" w:sz="18" w:space="8" w:color="9B1C1C"/>
        </w:pBdr>
      </w:pPr>
      <w:r>
        <w:rPr>
          <w:rFonts w:ascii="Calibri" w:hAnsi="Calibri" w:eastAsia="Malgun Gothic"/>
          <w:b/>
          <w:color w:val="1F4D78"/>
          <w:sz w:val="23"/>
        </w:rPr>
        <w:t>BPDF-DNV-018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선실 구역(accommodation area) 내의 객실에 설치해야 하는 화재 감지기 종류는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객실 구역(accommodation area)의 객실에는 열 감지기(Heat detectors)를 사용해야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'Heat detectors shall be used in cabins in the accommodation area'라는 명확한 근거가 존재함에도 불구하고, 답변은 정보를 찾지 못했다고 응답하여 사실을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DNV-RU-INV-Pt5.pdf · p.78</w:t>
      </w:r>
    </w:p>
    <w:p>
      <w:pPr>
        <w:pStyle w:val="ItemHeading"/>
        <w:shd w:fill="FDECEC"/>
        <w:pBdr>
          <w:left w:val="single" w:sz="18" w:space="8" w:color="9B1C1C"/>
        </w:pBdr>
      </w:pPr>
      <w:r>
        <w:rPr>
          <w:rFonts w:ascii="Calibri" w:hAnsi="Calibri" w:eastAsia="Malgun Gothic"/>
          <w:b/>
          <w:color w:val="1F4D78"/>
          <w:sz w:val="23"/>
        </w:rPr>
        <w:t>BPDF-DNV-019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코일이 W 인증을 받은 상태로 언코일링 플랜트에 납품되었으나 최종 제품에 NV 인증이 필요한 경우, 어떤 절차와 비용 부담이 발생하나요?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W-인증으로 납품된 코일이 최종 제품에서 NV-인증을 요구하는 경우, 언코일링 플랜트에서 규정(DNV-RU-SHIP Pt.2 Ch.2 Sec.2 등)에 따른 전체 인증 범위(제품 스탬핑/식별, 검사 및 시험, 검사관 입회 포함)를 수행해야 하며, 관련 인증 비용과 조사 비용은 언코일링 플랜트가 부담한다.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코일이 W 인증을 받은 상태로 언코일링 플랜트에 납품된 후 최종 제품에 NV 인증이 필요한 경우에 대한 구체적인 절차 및 비용 부담은 검색 근거에서 확인되지 않음.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제조법 및 형식승인 등에 관한 지침_2025.pdf [1]</w:t>
      </w:r>
    </w:p>
    <w:p>
      <w:pPr>
        <w:pStyle w:val="AnswerBody"/>
        <w:shd w:fill="F4F6F9"/>
        <w:numPr>
          <w:ilvl w:val="0"/>
          <w:numId w:val="10"/>
        </w:numPr>
      </w:pPr>
      <w:r>
        <w:rPr>
          <w:rFonts w:ascii="Calibri" w:hAnsi="Calibri" w:eastAsia="Malgun Gothic"/>
          <w:b w:val="0"/>
          <w:sz w:val="19"/>
        </w:rPr>
        <w:t>제조법 및 형식승인 등에 관한 지침_2025.pdf (조항 402)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명확한 절차(전체 인증 범위 수행)와 비용 부담 주체(언코일링 플랜트)가 명시되어 있음에도 불구하고, 답변은 '확인되지 않음'이라고 답변하여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DNV-CP-0349.pdf · p.5</w:t>
      </w:r>
    </w:p>
    <w:p>
      <w:pPr>
        <w:pStyle w:val="ItemHeading"/>
        <w:shd w:fill="FDECEC"/>
        <w:pBdr>
          <w:left w:val="single" w:sz="18" w:space="8" w:color="9B1C1C"/>
        </w:pBdr>
      </w:pPr>
      <w:r>
        <w:rPr>
          <w:rFonts w:ascii="Calibri" w:hAnsi="Calibri" w:eastAsia="Malgun Gothic"/>
          <w:b/>
          <w:color w:val="1F4D78"/>
          <w:sz w:val="23"/>
        </w:rPr>
        <w:t>BPDF-DNV-020</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크랭크샤프트의 피로 시험 전 품질 관리 절차에 따라 수행해야 하는 검사 항목은 무엇이며, 시편 준비 시 고려해야 할 기준은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피로 시험 전 크랭크샤프트는 화학 성분, 기계적 성질, 표면 경도, 경도 깊이 및 연장, 필렛 표면 거칠기 등을 포함한 품질 관리 절차에 따라 테스트되어야 한다.</w:t>
      </w:r>
    </w:p>
    <w:p>
      <w:pPr>
        <w:pStyle w:val="FieldBody"/>
        <w:ind w:left="202" w:right="86"/>
        <w:shd w:fill="E8EEF5"/>
        <w:pBdr>
          <w:left w:val="single" w:sz="14" w:space="8" w:color="2E74B5"/>
        </w:pBdr>
      </w:pPr>
      <w:r>
        <w:rPr>
          <w:rFonts w:ascii="Calibri" w:hAnsi="Calibri" w:eastAsia="Malgun Gothic"/>
          <w:b w:val="0"/>
          <w:sz w:val="21"/>
        </w:rPr>
        <w:t>시험 시편은 허용 범위의 하한부(lower end)를 대표하도록 준비되어야 하며, 예를 들어 유도 경화 크랭크샤프트의 경우 허용 가능한 경도 깊이의 낮은 범위나 필렛을 통과하는 가장 짧은 연장 등을 의미한다.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크랭크샤프트(단강품)의 피로 시험 전 품질 관리 절차에 따른 구체적인 검사 항목은 확인되지 않음. [1]</w:t>
      </w:r>
    </w:p>
    <w:p>
      <w:pPr>
        <w:pStyle w:val="AnswerBody"/>
        <w:shd w:fill="F4F6F9"/>
        <w:numPr>
          <w:ilvl w:val="0"/>
          <w:numId w:val="10"/>
        </w:numPr>
      </w:pPr>
      <w:r>
        <w:rPr>
          <w:rFonts w:ascii="Calibri" w:hAnsi="Calibri" w:eastAsia="Malgun Gothic"/>
          <w:b w:val="0"/>
          <w:sz w:val="19"/>
        </w:rPr>
        <w:t>시편 준비 시 고려해야 할 기준은 검색 근거에서 확인되지 않음.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KR, 2편_2025.pdf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골드 원문에 명시된 검사 항목(화학 성분, 기계적 성질 등)과 시편 준비 기준(허용 범위의 하한부 대표)을 모두 '확인되지 않음'으로 처리하여 사실 관계를 전혀 반영하지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DNV-CG-0037.pdf · p.47</w:t>
      </w:r>
    </w:p>
    <w:p>
      <w:pPr>
        <w:pStyle w:val="ItemHeading"/>
        <w:shd w:fill="FDECEC"/>
        <w:pBdr>
          <w:left w:val="single" w:sz="18" w:space="8" w:color="9B1C1C"/>
        </w:pBdr>
      </w:pPr>
      <w:r>
        <w:rPr>
          <w:rFonts w:ascii="Calibri" w:hAnsi="Calibri" w:eastAsia="Malgun Gothic"/>
          <w:b/>
          <w:color w:val="1F4D78"/>
          <w:sz w:val="23"/>
        </w:rPr>
        <w:t>BPDF-DNV-021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DNV-OS-D203 B.DES.2에 따라 설계 문서에서 소프트웨어 구성 요소(software components)를 기술할 때 최소로 포함되어야 하는 항목들은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소프트웨어 구성 요소의 하드웨어 할당, 주요 구성 요소 식별 및 구조/계층/관계, 유형(신규, 수정, 재사용 또는 제3자) 식별이 포함되어야 합니다.</w:t>
      </w:r>
    </w:p>
    <w:p>
      <w:pPr>
        <w:pStyle w:val="FieldBody"/>
        <w:ind w:left="202" w:right="86"/>
        <w:shd w:fill="E8EEF5"/>
        <w:pBdr>
          <w:left w:val="single" w:sz="14" w:space="8" w:color="2E74B5"/>
        </w:pBdr>
      </w:pPr>
      <w:r>
        <w:rPr>
          <w:rFonts w:ascii="Calibri" w:hAnsi="Calibri" w:eastAsia="Malgun Gothic"/>
          <w:b w:val="0"/>
          <w:sz w:val="21"/>
        </w:rPr>
        <w:t>소프트웨어 구성 요소의 기능, 동작 및 상위 요구사항과의 매핑, 설정/매개변수/기본값에 대한 설명이 포함되어야 합니다.</w:t>
      </w:r>
    </w:p>
    <w:p>
      <w:pPr>
        <w:pStyle w:val="FieldBody"/>
        <w:ind w:left="202" w:right="86"/>
        <w:shd w:fill="E8EEF5"/>
        <w:pBdr>
          <w:left w:val="single" w:sz="14" w:space="8" w:color="2E74B5"/>
        </w:pBdr>
      </w:pPr>
      <w:r>
        <w:rPr>
          <w:rFonts w:ascii="Calibri" w:hAnsi="Calibri" w:eastAsia="Malgun Gothic"/>
          <w:b w:val="0"/>
          <w:sz w:val="21"/>
        </w:rPr>
        <w:t>소프트웨어 구성 요소 간의 내부 구조 및 인터페이스, 알려진 제한 사항이나 호환성 문제 등이 기술되어야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 보안 제어의 제품 인증 요구사항은 SuC의 일부이며 보안 프로파일 1(SP1) 이상의 요구사항을 충족해야 하는 컴퓨터 기반 시스템에 적용됩니다.; 2) 제품 인증은 시스템 및 해당 자산(예: 호스트 장치, 임베디드 장치, 네트워크 장치, 소프트웨어 애플리케이션 및 관리되는 현장 장치)에 대한 보안 기능, 아키텍처 및 통신 인터페이스를 포함합니다.; 3) 시스템 공급업체에 의해 인도되는 컴퓨터 기반 시스템에 대해 제품 인증이 요구됩니다. 이러한 시스템은 일반적으로 여러 하드웨어 및 소프트웨어 구성 요소로 구성되며, 그중 일부는 시스템 공급업체에 의해 개발되고 다른 일부는 하위 공급업체로부터 조달될 수 있습니다.. [1]</w:t>
      </w:r>
    </w:p>
    <w:p>
      <w:pPr>
        <w:pStyle w:val="AnswerBody"/>
        <w:shd w:fill="F4F6F9"/>
        <w:numPr>
          <w:ilvl w:val="0"/>
          <w:numId w:val="10"/>
        </w:numPr>
      </w:pPr>
      <w:r>
        <w:rPr>
          <w:rFonts w:ascii="Calibri" w:hAnsi="Calibri" w:eastAsia="Malgun Gothic"/>
          <w:b w:val="0"/>
          <w:sz w:val="19"/>
        </w:rPr>
        <w:t>4) 시스템 통합업체에 의해 제공되는 컴퓨터 기반 시스템에 대해 제품 인증이 요구됩니다. 이러한 시스템은 일반적으로 하위 공급업체로부터 조달된 여러 하드웨어 및 소프트웨어 구성 요소로 구성되며, 시스템 통합업체에 의해 컴퓨터 기반 시스템을 형성하도록 통합됩니다. 예: [4.6] 참조.; 5) 하위 공급업체가 시스템 공급업체 또는 시스템 통합업체에게 인도하는 개별 하드웨어 및 소프트웨어 구성 요소(예: PLC, 네트워크 스위치, 운영 체제)에 대해서는 제품 인증이 요구되지 않습니다. 그러나 해당 하드웨어 및 소프트웨어 구성 요소가 SuC 내의 컴퓨터 기반 시스템에서 사용되는 경우, 필요한 보안 기능을 갖추어야 합니다. 따라서 구성 요소의 형식 승인이 권장됩니다..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DNV-CG-0325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질문에서 요구한 소프트웨어 구성 요소의 필수 포함 항목(하드웨어 할당, 구조, 유형 등)에 대해 전혀 언급하지 않고, 제품 인증 및 공급업체 관련 내용만 기술하고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DNV-CP-0507.pdf · p.30</w:t>
      </w:r>
    </w:p>
    <w:p>
      <w:pPr>
        <w:pStyle w:val="ItemHeading"/>
        <w:shd w:fill="E9F5EE"/>
        <w:pBdr>
          <w:left w:val="single" w:sz="18" w:space="8" w:color="246B46"/>
        </w:pBdr>
      </w:pPr>
      <w:r>
        <w:rPr>
          <w:rFonts w:ascii="Calibri" w:hAnsi="Calibri" w:eastAsia="Malgun Gothic"/>
          <w:b/>
          <w:color w:val="1F4D78"/>
          <w:sz w:val="23"/>
        </w:rPr>
        <w:t>BPDF-DNV-022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DNV-CP-0099 문서에 따르면, 탱크 지지용 경질목(hardwood)의 유형 승인(TA) 인증 시 제품 등급(grade)과 변형(variants)은 각각 어떻게 정의됩니까?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등급(grade)은 특정 지역의 한 가지 목재 유형을 의미하며, 밀도(density), 적층(lamination), 베니어 두께(veneer thickness), 수지 유형(type of resin)에 의해 정의된다.</w:t>
      </w:r>
    </w:p>
    <w:p>
      <w:pPr>
        <w:pStyle w:val="FieldBody"/>
        <w:ind w:left="202" w:right="86"/>
        <w:shd w:fill="E8EEF5"/>
        <w:pBdr>
          <w:left w:val="single" w:sz="14" w:space="8" w:color="2E74B5"/>
        </w:pBdr>
      </w:pPr>
      <w:r>
        <w:rPr>
          <w:rFonts w:ascii="Calibri" w:hAnsi="Calibri" w:eastAsia="Malgun Gothic"/>
          <w:b w:val="0"/>
          <w:sz w:val="21"/>
        </w:rPr>
        <w:t>변형(variants)은 겹수 등 구조적 차이(construction)를 의미한다.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DNV-CP-0099에 따른 유형 승인(TA) 인증 시 제품 등급(grade)은 정의된 지리적 영역에서 온 한 종류의 목재를 의미하며, 밀도, 적층(lamination), 베니어 두께로 정의됩니다. [1]</w:t>
      </w:r>
    </w:p>
    <w:p>
      <w:pPr>
        <w:pStyle w:val="AnswerBody"/>
        <w:shd w:fill="F4F6F9"/>
        <w:numPr>
          <w:ilvl w:val="0"/>
          <w:numId w:val="10"/>
        </w:numPr>
      </w:pPr>
      <w:r>
        <w:rPr>
          <w:rFonts w:ascii="Calibri" w:hAnsi="Calibri" w:eastAsia="Malgun Gothic"/>
          <w:b w:val="0"/>
          <w:sz w:val="19"/>
        </w:rPr>
        <w:t>동일 문서에서 변형(variants)은 구성 방식에 따른 서로 다른 겹(ply)의 수를 의미합니다.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CP는 탱크 지지용 경질목의 설계 요구사항을 설정하지 않으며, TA 인증은 규칙 및 기타 규정이나 표준에서 제시된 설계 요구사항 준수를 기반으로 합니다. [1]</w:t>
      </w:r>
    </w:p>
    <w:p>
      <w:pPr>
        <w:pStyle w:val="AnswerBody"/>
        <w:shd w:fill="F4F6F9"/>
        <w:numPr>
          <w:ilvl w:val="0"/>
          <w:numId w:val="10"/>
        </w:numPr>
      </w:pPr>
      <w:r>
        <w:rPr>
          <w:rFonts w:ascii="Calibri" w:hAnsi="Calibri" w:eastAsia="Malgun Gothic"/>
          <w:b w:val="0"/>
          <w:sz w:val="19"/>
        </w:rPr>
        <w:t>협회(Society)의 유형 승인 증명서는 실제 제품 중 하나의 등급을 포함하며, 변형을 포함할 가능성이 있습니다. [1]</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DNV-CP-0099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3/4 · 완전성 3/4 · 직접응답 예 · 모순 없음 · 근거 없는 구체 주장 없음 · 등급(grade) 정의에서 '수지 유형(type of resin)'이 누락되었으나 핵심 요소는 포함됨. 변형(variants)에 대한 설명도 원문과 일치함.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DNV-CP-0099.pdf · p.5</w:t>
      </w:r>
    </w:p>
    <w:p>
      <w:pPr>
        <w:pStyle w:val="ItemHeading"/>
        <w:shd w:fill="FFF6DA"/>
        <w:pBdr>
          <w:left w:val="single" w:sz="18" w:space="8" w:color="7A5A00"/>
        </w:pBdr>
      </w:pPr>
      <w:r>
        <w:rPr>
          <w:rFonts w:ascii="Calibri" w:hAnsi="Calibri" w:eastAsia="Malgun Gothic"/>
          <w:b/>
          <w:color w:val="1F4D78"/>
          <w:sz w:val="23"/>
        </w:rPr>
        <w:t>BPDF-DNV-023</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어떠한 조건의 평판 제품(flat products)에 대해 용접성 시험이 요구됩니까?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최소 규정 항복 강도가 315 N/mm2 이상이거나, 규정된 최소 충격 인성 시험 온도가 -40°C 이하인 모든 등급의 평판 제품에 대해 용접성 시험이 요구됩니다.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모든 등급(any grade)의 평판 제품(flat products) 중 다음 기준 중 하나를 충족하는 경우 용접성 시험이 요구됩니다.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DNV-CP-0243, Clause 2.9.1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질문에 대한 핵심 조건(항복 강도 315 N/mm2 이상 또는 충격 인성 -40°C 이하) 중 구체적인 수치와 조건을 생략하고 '다음 기준'으로만 치환하여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DNV-CP-0243.pdf · p.19</w:t>
      </w:r>
    </w:p>
    <w:p>
      <w:pPr>
        <w:pStyle w:val="ItemHeading"/>
        <w:shd w:fill="FDECEC"/>
        <w:pBdr>
          <w:left w:val="single" w:sz="18" w:space="8" w:color="9B1C1C"/>
        </w:pBdr>
      </w:pPr>
      <w:r>
        <w:rPr>
          <w:rFonts w:ascii="Calibri" w:hAnsi="Calibri" w:eastAsia="Malgun Gothic"/>
          <w:b/>
          <w:color w:val="1F4D78"/>
          <w:sz w:val="23"/>
        </w:rPr>
        <w:t>BPDF-DNV-024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DNV-CP-0097 문서에 따르면, 샌드위치 플레이트 시스템(SPS)용 핵심 소재의 형식 승인(TA)을 위해 수행되는 유형 시험은 어떤 장소에서 실시될 수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유형 시험은 협회 실험실, 인정된 독립 실험실 또는 검사관 입회하에 제조사 현장에서 수행될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DNV-CP-0097 문서에 따르면, 샌드위치 플레이트 시스템(SPS)용 핵심 소재의 형식 승인(TA)을 위해 수행되는 유형 시험이 실시될 수 있는 장소는 검색 근거에서 확인되지 않음.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DNV-CP-0097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시험 장소(협회 실험실, 독립 실험실, 제조사 현장)가 명시되어 있음에도 불구하고 '확인되지 않음'이라고 답변하여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DNV-CP-0097.pdf · p.5</w:t>
      </w:r>
    </w:p>
    <w:p>
      <w:pPr>
        <w:pStyle w:val="ItemHeading"/>
        <w:shd w:fill="FDECEC"/>
        <w:pBdr>
          <w:left w:val="single" w:sz="18" w:space="8" w:color="9B1C1C"/>
        </w:pBdr>
      </w:pPr>
      <w:r>
        <w:rPr>
          <w:rFonts w:ascii="Calibri" w:hAnsi="Calibri" w:eastAsia="Malgun Gothic"/>
          <w:b/>
          <w:color w:val="1F4D78"/>
          <w:sz w:val="23"/>
        </w:rPr>
        <w:t>BPDF-DNV-025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에폭시 기반 시스템이 아니거나 IMO Resolution MSC.288(87)의 Table 1에 따른 방식이 아닌 대체 시스템을 승인받기 위한 최소한의 증빙 요건은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대체 시스템은 IMO Resolution MSC.288(87)에 명시된 성능과 최소로 동등한 부식 방지 성능을 보장하는 문서화된 증거가 있어야 한다.</w:t>
      </w:r>
    </w:p>
    <w:p>
      <w:pPr>
        <w:pStyle w:val="FieldBody"/>
        <w:ind w:left="202" w:right="86"/>
        <w:shd w:fill="E8EEF5"/>
        <w:pBdr>
          <w:left w:val="single" w:sz="14" w:space="8" w:color="2E74B5"/>
        </w:pBdr>
      </w:pPr>
      <w:r>
        <w:rPr>
          <w:rFonts w:ascii="Calibri" w:hAnsi="Calibri" w:eastAsia="Malgun Gothic"/>
          <w:b w:val="0"/>
          <w:sz w:val="21"/>
        </w:rPr>
        <w:t>최소 요구사항으로, 실제 현장 노출 5년 후 상태가 'GOOD' 이상이거나 실험실 테스트를 통해 15년의 목표 유효 수명을 충족해야 한다.</w:t>
      </w:r>
    </w:p>
    <w:p>
      <w:pPr>
        <w:pStyle w:val="FieldBody"/>
        <w:ind w:left="202" w:right="86"/>
        <w:shd w:fill="E8EEF5"/>
        <w:pBdr>
          <w:left w:val="single" w:sz="14" w:space="8" w:color="2E74B5"/>
        </w:pBdr>
      </w:pPr>
      <w:r>
        <w:rPr>
          <w:rFonts w:ascii="Calibri" w:hAnsi="Calibri" w:eastAsia="Malgun Gothic"/>
          <w:b w:val="0"/>
          <w:sz w:val="21"/>
        </w:rPr>
        <w:t>실험실 시험은 IMO Resolution MSC.288(87)의 부록 1(Gas-tight cabinet test) 및 부록 2(Immersion test) 절차와 수락 기준에 따라 수행되어야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pPr>
      <w:r>
        <w:rPr>
          <w:rFonts w:ascii="Calibri" w:hAnsi="Calibri" w:eastAsia="Malgun Gothic"/>
          <w:b w:val="0"/>
          <w:sz w:val="19"/>
        </w:rPr>
        <w:t>* 각 인정기구는 벌크선 및 유조선의 IMO 목표 기반 선박 건조 표준(결의안 MSC.287(87))에 부합하는 것으로 이미 검증된 규칙의 변경 사항을 통지해야 하며, 이러한 통지는 변경 유형에 따라 GBS 검증 지침의 26항에 의거하여 27.1항 또는 27.2항에 상세히 기술된 항목들을 최소한으로 포함해야 합니다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질문의 핵심 내용(대체 시스템 승인을 위한 최소 증빙 요건)에 대해 전혀 언급하지 않고 있으며, 관련 없는 규정(GBS 검증 지침 등)을 나열하고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DNV-CP-0139.pdf · p.9</w:t>
      </w:r>
    </w:p>
    <w:p>
      <w:pPr>
        <w:pStyle w:val="ItemHeading"/>
        <w:shd w:fill="FDECEC"/>
        <w:pBdr>
          <w:left w:val="single" w:sz="18" w:space="8" w:color="9B1C1C"/>
        </w:pBdr>
      </w:pPr>
      <w:r>
        <w:rPr>
          <w:rFonts w:ascii="Calibri" w:hAnsi="Calibri" w:eastAsia="Malgun Gothic"/>
          <w:b/>
          <w:color w:val="1F4D78"/>
          <w:sz w:val="23"/>
        </w:rPr>
        <w:t>BPDF-DNV-026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수동 또는 반자동 용접 공정에서 완전 자동화된 로봇 용접 공정으로 변경할 경우 어떤 절차가 필요한가요?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수동(또는 반자동) 용접 공정에서 완전 기계화(또는 자동) 용접 공정으로 변경될 경우 재자격 부여(re-qualified)가 필요하다.</w:t>
      </w:r>
    </w:p>
    <w:p>
      <w:pPr>
        <w:pStyle w:val="FieldBody"/>
        <w:ind w:left="202" w:right="86"/>
        <w:shd w:fill="E8EEF5"/>
        <w:pBdr>
          <w:left w:val="single" w:sz="14" w:space="8" w:color="2E74B5"/>
        </w:pBdr>
      </w:pPr>
      <w:r>
        <w:rPr>
          <w:rFonts w:ascii="Calibri" w:hAnsi="Calibri" w:eastAsia="Malgun Gothic"/>
          <w:b w:val="0"/>
          <w:sz w:val="21"/>
        </w:rPr>
        <w:t>로봇 용접 절차의 자격 부여는 핵심 공정 매개변수 및 허용 범위 정의, 실제 용접 적용, pWPS/WPQT/WPQR/WPS 승인 단계를 포함한다.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수동 또는 반자동 용접 공정에서 완전 자동화된 로봇 용접 공정으로 변경할 경우에 대한 구체적인 절차는 검색 근거에서 확인되지 않음.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제조법 및 형식승인 등에 관한 지침_2025.pdf [1]</w:t>
      </w:r>
    </w:p>
    <w:p>
      <w:pPr>
        <w:pStyle w:val="AnswerBody"/>
        <w:shd w:fill="F4F6F9"/>
        <w:numPr>
          <w:ilvl w:val="0"/>
          <w:numId w:val="10"/>
        </w:numPr>
      </w:pPr>
      <w:r>
        <w:rPr>
          <w:rFonts w:ascii="Calibri" w:hAnsi="Calibri" w:eastAsia="Malgun Gothic"/>
          <w:b w:val="0"/>
          <w:sz w:val="19"/>
        </w:rPr>
        <w:t>2편_2025.pdf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재자격 부여(re-qualified) 필요성 및 구체적인 3단계 절차(매개변수 정의, 실제 적용, 승인 단계)가 명시되어 있음에도 불구하고, 답변은 '확인되지 않음'으로 응답하여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DNV-CG-0162.pdf · p.9</w:t>
      </w:r>
    </w:p>
    <w:p>
      <w:pPr>
        <w:pStyle w:val="ItemHeading"/>
        <w:shd w:fill="FDECEC"/>
        <w:pBdr>
          <w:left w:val="single" w:sz="18" w:space="8" w:color="9B1C1C"/>
        </w:pBdr>
      </w:pPr>
      <w:r>
        <w:rPr>
          <w:rFonts w:ascii="Calibri" w:hAnsi="Calibri" w:eastAsia="Malgun Gothic"/>
          <w:b/>
          <w:color w:val="1F4D78"/>
          <w:sz w:val="23"/>
        </w:rPr>
        <w:t>BPDF-DNV-027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데이터 수집 인프라의 인증은 개별 구성 요소 단위로 수행할 수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데이터 수집 인프라 인증은 선박 서버(vessel server), 데이터 중계(data relay) 및 원격 서버(remote server)와 같은 개별 구성 요소 또는 전체 인프라에 대해 수행될 수 있습니다.</w:t>
      </w:r>
    </w:p>
    <w:p>
      <w:pPr>
        <w:pStyle w:val="FieldBody"/>
        <w:ind w:left="202" w:right="86"/>
        <w:shd w:fill="E8EEF5"/>
        <w:pBdr>
          <w:left w:val="single" w:sz="14" w:space="8" w:color="2E74B5"/>
        </w:pBdr>
      </w:pPr>
      <w:r>
        <w:rPr>
          <w:rFonts w:ascii="Calibri" w:hAnsi="Calibri" w:eastAsia="Malgun Gothic"/>
          <w:b w:val="0"/>
          <w:sz w:val="21"/>
        </w:rPr>
        <w:t>전체로 인증된 인프라는 내부에서 독점 프로토콜(proprietary protocols)을 사용할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데이터 수집 인프라의 인증(Authentication)에 대한 개별 구성 요소 단위 수행 여부는 검색 근거에서 확인되지 않음. [1]</w:t>
      </w:r>
    </w:p>
    <w:p>
      <w:pPr>
        <w:pStyle w:val="AnswerBody"/>
        <w:shd w:fill="F4F6F9"/>
        <w:numPr>
          <w:ilvl w:val="0"/>
          <w:numId w:val="10"/>
        </w:numPr>
      </w:pPr>
      <w:r>
        <w:rPr>
          <w:rFonts w:ascii="Calibri" w:hAnsi="Calibri" w:eastAsia="Malgun Gothic"/>
          <w:b w:val="0"/>
          <w:sz w:val="19"/>
        </w:rPr>
        <w:t>"구성품(Component)"은 하나 이상의 호스트 장비, 네트워크 장비, 소프트웨어 애플리케이션 또는 임베디드 장비의 특성을 나타내는 시스템에 속한 개체로 정의됨. [1]</w:t>
      </w:r>
    </w:p>
    <w:p>
      <w:pPr>
        <w:pStyle w:val="AnswerBody"/>
        <w:shd w:fill="F4F6F9"/>
        <w:numPr>
          <w:ilvl w:val="0"/>
          <w:numId w:val="10"/>
        </w:numPr>
      </w:pPr>
      <w:r>
        <w:rPr>
          <w:rFonts w:ascii="Calibri" w:hAnsi="Calibri" w:eastAsia="Malgun Gothic"/>
          <w:b w:val="0"/>
          <w:sz w:val="19"/>
        </w:rPr>
        <w:t>"구성요소(Component)"는 시스템을 구성하는 부분들 중 하나를 의미하며, 하드웨어 또는 소프트웨어가 될 수 있고 다른 구성요소로 세분화될 수 있음.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해상 기자재 사이버보안 적합성 인증 지침_2023.pdf [1]</w:t>
      </w:r>
    </w:p>
    <w:p>
      <w:pPr>
        <w:pStyle w:val="AnswerBody"/>
        <w:shd w:fill="F4F6F9"/>
        <w:numPr>
          <w:ilvl w:val="0"/>
          <w:numId w:val="10"/>
        </w:numPr>
      </w:pPr>
      <w:r>
        <w:rPr>
          <w:rFonts w:ascii="Calibri" w:hAnsi="Calibri" w:eastAsia="Malgun Gothic"/>
          <w:b w:val="0"/>
          <w:sz w:val="19"/>
        </w:rPr>
        <w:t>통합 소프트웨어 프로세스 관리 지침_2021.pdf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원문에는 개별 구성 요소(vessel server, data relay, remote server) 단위로 인증이 가능하다고 명시되어 있으나, 답변은 '확인되지 않음'이라고 답하여 사실 관계를 완전히 틀리게 전달함.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DNV-CG-0564.pdf · p.34</w:t>
      </w:r>
    </w:p>
    <w:p>
      <w:pPr>
        <w:pStyle w:val="ItemHeading"/>
        <w:shd w:fill="FDECEC"/>
        <w:pBdr>
          <w:left w:val="single" w:sz="18" w:space="8" w:color="9B1C1C"/>
        </w:pBdr>
      </w:pPr>
      <w:r>
        <w:rPr>
          <w:rFonts w:ascii="Calibri" w:hAnsi="Calibri" w:eastAsia="Malgun Gothic"/>
          <w:b/>
          <w:color w:val="1F4D78"/>
          <w:sz w:val="23"/>
        </w:rPr>
        <w:t>BPDF-DNV-028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선미관(stern tube) 밀봉 장치의 형식 승인(TA)을 위한 이 기술 지침의 적용 범위는 어디까지인가요?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이 지침은 해상용 선박에 설치되는 선미관 밀봉 장치에 적용됩니다.</w:t>
      </w:r>
    </w:p>
    <w:p>
      <w:pPr>
        <w:pStyle w:val="FieldBody"/>
        <w:ind w:left="202" w:right="86"/>
        <w:shd w:fill="E8EEF5"/>
        <w:pBdr>
          <w:left w:val="single" w:sz="14" w:space="8" w:color="2E74B5"/>
        </w:pBdr>
      </w:pPr>
      <w:r>
        <w:rPr>
          <w:rFonts w:ascii="Calibri" w:hAnsi="Calibri" w:eastAsia="Malgun Gothic"/>
          <w:b w:val="0"/>
          <w:sz w:val="21"/>
        </w:rPr>
        <w:t>해양 배출과 관련된 법적 요구사항은 고려하지 않습니다.</w:t>
      </w:r>
    </w:p>
    <w:p>
      <w:pPr>
        <w:pStyle w:val="FieldBody"/>
        <w:ind w:left="202" w:right="86"/>
        <w:shd w:fill="E8EEF5"/>
        <w:pBdr>
          <w:left w:val="single" w:sz="14" w:space="8" w:color="2E74B5"/>
        </w:pBdr>
      </w:pPr>
      <w:r>
        <w:rPr>
          <w:rFonts w:ascii="Calibri" w:hAnsi="Calibri" w:eastAsia="Malgun Gothic"/>
          <w:b w:val="0"/>
          <w:sz w:val="21"/>
        </w:rPr>
        <w:t>제조된 제품의 적합성 평가 및 선내 설치 절차는 이 지침의 범위에 포함되지 않습니다.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해당 기술 지침의 적용 범위 외에 있는 조향 노즐은 ABS 제출을 위한 모든 지원 문서 및 계산 결과와 함께 특별한 검토를 거쳐야 합니다.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적용 범위 이외의 조향 노즐이 포함된 경우, 설계 도면 및 계획(설계 작동 각도 표시 및 해당 각도에서 조향 노즐을 작동시키는 데 필요한 토크 포함), 계산된 조향 노즐 단면 계수, 설계 속도에서의 최대 수압(전진 및 후진 조건), 설계 속도에서의 노즐 지지 구조의 최대 전단 및 굽힘이 포함된 문서와 계산서를 ABS에 제출하여 검토받아야 합니다.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 (선미관(stern tube) 밀봉 장치(sealing device)의 형식 승인(TA)과 관련된 직접적인 언급이 없음.)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mvr-part-3-jan26.pdf, Page 288, Clause 11 [1]</w:t>
      </w:r>
    </w:p>
    <w:p>
      <w:pPr>
        <w:pStyle w:val="AnswerBody"/>
        <w:shd w:fill="F4F6F9"/>
        <w:numPr>
          <w:ilvl w:val="0"/>
          <w:numId w:val="10"/>
        </w:numPr>
      </w:pPr>
      <w:r>
        <w:rPr>
          <w:rFonts w:ascii="Calibri" w:hAnsi="Calibri" w:eastAsia="Malgun Gothic"/>
          <w:b w:val="0"/>
          <w:sz w:val="19"/>
        </w:rPr>
        <w:t>mvr-part-3-jan26.pdf, Page 333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질문과 무관한 '조향 노즐(steering nozzle)'에 대해 설명하고 있으며, 골드 사실에 포함된 선미관 밀봉 장치의 적용 범위 및 제외 사항을 전혀 언급하지 않았습니다.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DNV-CP-0031.pdf · p.5</w:t>
      </w:r>
    </w:p>
    <w:p>
      <w:pPr>
        <w:pStyle w:val="ItemHeading"/>
        <w:shd w:fill="FFF6DA"/>
        <w:pBdr>
          <w:left w:val="single" w:sz="18" w:space="8" w:color="7A5A00"/>
        </w:pBdr>
      </w:pPr>
      <w:r>
        <w:rPr>
          <w:rFonts w:ascii="Calibri" w:hAnsi="Calibri" w:eastAsia="Malgun Gothic"/>
          <w:b/>
          <w:color w:val="1F4D78"/>
          <w:sz w:val="23"/>
        </w:rPr>
        <w:t>BPDF-DNV-029</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DNV-CG-0158 문서에 따르면, 탱크 내부 압력을 측정하는 압력 센서의 감지 영역(sensing area)은 어떻게 배치되어야 하며, 보호 덮개 사용에 대한 제한 사항은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압력 센서의 감지 영역은 내벽과 수평이 되도록(flush) 위치해야 합니다.</w:t>
      </w:r>
    </w:p>
    <w:p>
      <w:pPr>
        <w:pStyle w:val="FieldBody"/>
        <w:ind w:left="202" w:right="86"/>
        <w:shd w:fill="E8EEF5"/>
        <w:pBdr>
          <w:left w:val="single" w:sz="14" w:space="8" w:color="2E74B5"/>
        </w:pBdr>
      </w:pPr>
      <w:r>
        <w:rPr>
          <w:rFonts w:ascii="Calibri" w:hAnsi="Calibri" w:eastAsia="Malgun Gothic"/>
          <w:b w:val="0"/>
          <w:sz w:val="21"/>
        </w:rPr>
        <w:t>측정 역학에 영향을 줄 수 있는 보호 덮개나 유사한 캡을 사용해서는 안 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탱크 내부 압력을 측정하는 압력 센서의 감지 영역(sensing area)은 내벽과 수평이 되도록(flush) 배치되어야 하며, 탱크 내부 매질과 직접 접촉해야 합니다.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DNV-CG-0158, Clause 5.2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감지 영역의 배치(flush)에 대해서는 정확히 답변했으나, 질문에서 명시적으로 요구한 '보호 덮개 사용 제한'에 대한 언급이 누락되었습니다.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DNV-CG-0158.pdf · p.46</w:t>
      </w:r>
    </w:p>
    <w:p>
      <w:pPr>
        <w:pStyle w:val="ItemHeading"/>
        <w:shd w:fill="FDECEC"/>
        <w:pBdr>
          <w:left w:val="single" w:sz="18" w:space="8" w:color="9B1C1C"/>
        </w:pBdr>
      </w:pPr>
      <w:r>
        <w:rPr>
          <w:rFonts w:ascii="Calibri" w:hAnsi="Calibri" w:eastAsia="Malgun Gothic"/>
          <w:b/>
          <w:color w:val="1F4D78"/>
          <w:sz w:val="23"/>
        </w:rPr>
        <w:t>BPDF-DNV-030</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DNV-CG-0138 문서에 따르면, 횡방향 강도 평가(racking analysis) 시 적용 가능한 경계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x 및 z 방향 양측과 y 방향 한쪽 측면의 벌크헤드 데크와 측면 외판 교차점에서 변위 고정(Translation fixation)을 적용할 수 있습니다.</w:t>
      </w:r>
    </w:p>
    <w:p>
      <w:pPr>
        <w:pStyle w:val="FieldBody"/>
        <w:ind w:left="202" w:right="86"/>
        <w:shd w:fill="E8EEF5"/>
        <w:pBdr>
          <w:left w:val="single" w:sz="14" w:space="8" w:color="2E74B5"/>
        </w:pBdr>
      </w:pPr>
      <w:r>
        <w:rPr>
          <w:rFonts w:ascii="Calibri" w:hAnsi="Calibri" w:eastAsia="Malgun Gothic"/>
          <w:b w:val="0"/>
          <w:sz w:val="21"/>
        </w:rPr>
        <w:t>벌크헤 등 레벨에서 횡방향 주요 화재 구역 벌크헤드, 연속 기둥 및 기타 연속 수직 지지 구조에 있는 모든 노드의 z 방향 변위 고정을 적용할 수 있습니다.</w:t>
      </w:r>
    </w:p>
    <w:p>
      <w:pPr>
        <w:pStyle w:val="FieldBody"/>
        <w:ind w:left="202" w:right="86"/>
        <w:shd w:fill="E8EEF5"/>
        <w:pBdr>
          <w:left w:val="single" w:sz="14" w:space="8" w:color="2E74B5"/>
        </w:pBdr>
      </w:pPr>
      <w:r>
        <w:rPr>
          <w:rFonts w:ascii="Calibri" w:hAnsi="Calibri" w:eastAsia="Malgun Gothic"/>
          <w:b w:val="0"/>
          <w:sz w:val="21"/>
        </w:rPr>
        <w:t>수압이 전역 모델에 추가된 경우(4.5항 기준), 벌크헤드 데크 레벨의 z 방향 변위 고정은 관련이 없습니다.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DNV-CG-0138 문서에 따르면, 횡방향 강도 평가(racking analysis) 시 적용 가능한 경계 조건은 DNV-RU-SHIP Pt.5 Ch.4 Sec.2 [2.2.3]에 명시된 조건이다.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DNV-CG-0138 [1]</w:t>
      </w:r>
    </w:p>
    <w:p>
      <w:pPr>
        <w:pStyle w:val="AnswerBody"/>
        <w:shd w:fill="F4F6F9"/>
        <w:numPr>
          <w:ilvl w:val="0"/>
          <w:numId w:val="10"/>
        </w:numPr>
      </w:pPr>
      <w:r>
        <w:rPr>
          <w:rFonts w:ascii="Calibri" w:hAnsi="Calibri" w:eastAsia="Malgun Gothic"/>
          <w:b w:val="0"/>
          <w:sz w:val="19"/>
        </w:rPr>
        <w:t>DNV-RU-SHIP Pt.5 Ch.4 Sec.2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없음 · 질문은 구체적인 경계 조건(x, z, y 방향 변위 고정 등)을 물었으나, 답변은 해당 조건을 나열하지 않고 단순히 관련 규정 번호만 언급하여 핵심 내용을 전달하지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DNV-CG-0138.pdf · p.10, 11</w:t>
      </w:r>
    </w:p>
    <w:p>
      <w:pPr>
        <w:pStyle w:val="ItemHeading"/>
        <w:shd w:fill="E9F5EE"/>
        <w:pBdr>
          <w:left w:val="single" w:sz="18" w:space="8" w:color="246B46"/>
        </w:pBdr>
      </w:pPr>
      <w:r>
        <w:rPr>
          <w:rFonts w:ascii="Calibri" w:hAnsi="Calibri" w:eastAsia="Malgun Gothic"/>
          <w:b/>
          <w:color w:val="1F4D78"/>
          <w:sz w:val="23"/>
        </w:rPr>
        <w:t>BPDF-DNV-031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DNV에서 요구하는 고정형 커플링 및 고무 보상기가 장착된 유연성 비금속 호스의 형식 승인(TA)을 위해 제출해야 하는 서류 목록은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제출 서류: 형식 승인 신청서, 제조사 정보(호스 및/또는 엔드 피팅이 형식 승인 보유자와 다를 경우), 호스 설계 상세 내용(설계 설명 및 단면도 또는 카탈로그), 커플링 도면, 재료 사양(내부 튜브, 보강재, 호스 커버 및 페룰, 인서트 포함), 형식 시험 문서, 커플링 장착 절차, 모든 유형 및 크기의 최대 사용 압력, 적용 온도 범위, 운송 매체(산소 호스의 경우 세척 절차 포함), 특별 운영 제한 사항, 호스 어셈블리 마킹.</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 형식 승인 신청서; 2) 호스 및/또는 엔드 피팅의 제조사 (형식 승인 보유자와 다른 경우); 3) 호스 설계 상세 정보: 설계 설명 및 단면도, 또는 공인된 국가/국제 표준을 참조한 모든 호스 유형에 대한 제조사의 카탈로그. 해당되는 경우 호스 및 커플링에 대한 제조사 표준 참조 포함. [1]</w:t>
      </w:r>
    </w:p>
    <w:p>
      <w:pPr>
        <w:pStyle w:val="AnswerBody"/>
        <w:shd w:fill="F4F6F9"/>
        <w:numPr>
          <w:ilvl w:val="0"/>
          <w:numId w:val="10"/>
        </w:numPr>
      </w:pPr>
      <w:r>
        <w:rPr>
          <w:rFonts w:ascii="Calibri" w:hAnsi="Calibri" w:eastAsia="Malgun Gothic"/>
          <w:b w:val="0"/>
          <w:sz w:val="19"/>
        </w:rPr>
        <w:t>4) 엔드 커플링 도면: 모든 커플링 범주의 전형적인 단면도, 또는 해당되는 경우 공인된 국가/국제 표준을 참조하여 사용된 커플링을 다루는 제조사의 카탈로그; 5) 호스(내부 튜브, 보강재 및 호스 커버)와 커플링(페룰 및 인서트)에 사용된 재료의 사양. 국가 또는 국제 재료 표준을 참조해야 함; 6) 본 문서에서 요구하는 형식 시험 관련 문서. [1]</w:t>
      </w:r>
    </w:p>
    <w:p>
      <w:pPr>
        <w:pStyle w:val="AnswerBody"/>
        <w:shd w:fill="F4F6F9"/>
        <w:numPr>
          <w:ilvl w:val="0"/>
          <w:numId w:val="10"/>
        </w:numPr>
      </w:pPr>
      <w:r>
        <w:rPr>
          <w:rFonts w:ascii="Calibri" w:hAnsi="Calibri" w:eastAsia="Malgun Gothic"/>
          <w:b w:val="0"/>
          <w:sz w:val="19"/>
        </w:rPr>
        <w:t>7) 호스에 커플링을 장착하는 절차; 8) 모든 유형 및 크기의 최대 작동 압력; 9) 적용되는 온도 범위. [1]</w:t>
      </w:r>
    </w:p>
    <w:p>
      <w:pPr>
        <w:pStyle w:val="AnswerBody"/>
        <w:shd w:fill="F4F6F9"/>
        <w:numPr>
          <w:ilvl w:val="0"/>
          <w:numId w:val="10"/>
        </w:numPr>
      </w:pPr>
      <w:r>
        <w:rPr>
          <w:rFonts w:ascii="Calibri" w:hAnsi="Calibri" w:eastAsia="Malgun Gothic"/>
          <w:b w:val="0"/>
          <w:sz w:val="19"/>
        </w:rPr>
        <w:t>10) 호스 어셈블리가 운송하는 매체 (해당 호스 표준 또는 관련 형식 시험 참조). 산소 호스의 경우 세척 절차를 제출해야 함; 11) 특별 운영 제한 사항; 12) 호스 어셈블리의 마킹.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DNV-CP-0183.pdf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원문의 모든 요구 사항을 정확하게 포함하고 있으며, 누락이나 왜곡된 정보 없이 질문에 충실히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DNV-CP-0183.pdf · p.6</w:t>
      </w:r>
    </w:p>
    <w:p>
      <w:pPr>
        <w:pStyle w:val="ItemHeading"/>
        <w:shd w:fill="FFF6DA"/>
        <w:pBdr>
          <w:left w:val="single" w:sz="18" w:space="8" w:color="7A5A00"/>
        </w:pBdr>
      </w:pPr>
      <w:r>
        <w:rPr>
          <w:rFonts w:ascii="Calibri" w:hAnsi="Calibri" w:eastAsia="Malgun Gothic"/>
          <w:b/>
          <w:color w:val="1F4D78"/>
          <w:sz w:val="23"/>
        </w:rPr>
        <w:t>BPDF-DNV-032</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따른 마모 시험 시, 윤활 방식에 따른 샤프트의 원주 속도(Circumferential velocity) 조건은 어떻게 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오일 또는 수분 윤활 시 6 m/s, 그리스 윤활 시 3 m/s여야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DNV-CP-0704 문서에 따르면, 마모 시험 시 윤활 방식이 오일(oil) 또는 수분(water)인 경우 샤프트의 원주 속도(Circumferential velocity)는 6 m/s여야 한다.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DNV-CP-0704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오일/수분 조건(6 m/s)은 정확히 기술했으나, 골드 사실에 포함된 그리스 윤활 시의 조건(3 m/s)을 누락하였습니다.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DNV-CP-0704.pdf · p.11</w:t>
      </w:r>
    </w:p>
    <w:p>
      <w:pPr>
        <w:pStyle w:val="ItemHeading"/>
        <w:shd w:fill="FFF6DA"/>
        <w:pBdr>
          <w:left w:val="single" w:sz="18" w:space="8" w:color="7A5A00"/>
        </w:pBdr>
      </w:pPr>
      <w:r>
        <w:rPr>
          <w:rFonts w:ascii="Calibri" w:hAnsi="Calibri" w:eastAsia="Malgun Gothic"/>
          <w:b/>
          <w:color w:val="1F4D78"/>
          <w:sz w:val="23"/>
        </w:rPr>
        <w:t>BPDF-DNV-033</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전통적인 유형의 C 가스 운반선(traditional type C gas carriers)과 표준 가스 운반선(standard gas carriers)에 대해 탱크 및 지지대 치수 산정 시 적용되는 설계 가속도(design accelerations)는 각각 어떻게 결정되나요?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전통적인 유형의 C 가스 운반선은 DNV-RU-SHIP Pt.5 Ch.7 Sec.4 [6.1.2]에 제시된 공식을 사용하여 설계 가속도를 결정하며, 이는 보수적인 값으로 간주됩니다.</w:t>
      </w:r>
    </w:p>
    <w:p>
      <w:pPr>
        <w:pStyle w:val="FieldBody"/>
        <w:ind w:left="202" w:right="86"/>
        <w:shd w:fill="E8EEF5"/>
        <w:pBdr>
          <w:left w:val="single" w:sz="14" w:space="8" w:color="2E74B5"/>
        </w:pBdr>
      </w:pPr>
      <w:r>
        <w:rPr>
          <w:rFonts w:ascii="Calibri" w:hAnsi="Calibri" w:eastAsia="Malgun Gothic"/>
          <w:b w:val="0"/>
          <w:sz w:val="21"/>
        </w:rPr>
        <w:t>표준 가스 운반선의 경우 DNV-RU-SHIP Pt.3 Ch.4 Sec.3 [3.3]에 제시된 포괄적 가속도(envelope accelerations)를 사용할 수 있습니다.</w:t>
      </w:r>
    </w:p>
    <w:p>
      <w:pPr>
        <w:pStyle w:val="FieldBody"/>
        <w:ind w:left="202" w:right="86"/>
        <w:shd w:fill="E8EEF5"/>
        <w:pBdr>
          <w:left w:val="single" w:sz="14" w:space="8" w:color="2E74B5"/>
        </w:pBdr>
      </w:pPr>
      <w:r>
        <w:rPr>
          <w:rFonts w:ascii="Calibri" w:hAnsi="Calibri" w:eastAsia="Malgun Gothic"/>
          <w:b w:val="0"/>
          <w:sz w:val="21"/>
        </w:rPr>
        <w:t>초기 설계 단계의 예비 데이터 불확실성을 고려하여 설계 값에 여유(margin)를 반영해야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전통적인 유형의 C 가스 운반선(traditional type C gas carriers)의 탱크 및 지지대 치수 산정을 위한 설계 가속도는 DNV-RU-SHIP Pt.5 Ch.7 Sec.4 [6.1.2]에 제시된 공식을 사용하며, 이는 보수적인 설계 가속도를 제공하는 것으로 간주됩니다.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설계 가속도는 직접 계산(즉, 파랑 하중 해석)을 통해 결정되어 가속도 타원과 함께 사용될 수 있으나, 이는 과거 및 현재 설계에서 일반적인 관행은 아닙니다. [1]</w:t>
      </w:r>
    </w:p>
    <w:p>
      <w:pPr>
        <w:pStyle w:val="AnswerBody"/>
        <w:shd w:fill="F4F6F9"/>
        <w:numPr>
          <w:ilvl w:val="0"/>
          <w:numId w:val="10"/>
        </w:numPr>
      </w:pPr>
      <w:r>
        <w:rPr>
          <w:rFonts w:ascii="Calibri" w:hAnsi="Calibri" w:eastAsia="Malgun Gothic"/>
          <w:b w:val="0"/>
          <w:sz w:val="19"/>
        </w:rPr>
        <w:t>직접 계산이 수행되는 경우, ULS 설계를 위해 특정 가정들이 적용되어야 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DNV-CG-0135, Clause 4.3.2 [1]</w:t>
      </w:r>
    </w:p>
    <w:p>
      <w:pPr>
        <w:pStyle w:val="AnswerBody"/>
        <w:shd w:fill="F4F6F9"/>
        <w:numPr>
          <w:ilvl w:val="0"/>
          <w:numId w:val="10"/>
        </w:numPr>
      </w:pPr>
      <w:r>
        <w:rPr>
          <w:rFonts w:ascii="Calibri" w:hAnsi="Calibri" w:eastAsia="Malgun Gothic"/>
          <w:b w:val="0"/>
          <w:sz w:val="19"/>
        </w:rPr>
        <w:t>DNV-RU-SHIP Pt.5 Ch.7 Sec.4 [6.1.2] [1]</w:t>
      </w:r>
    </w:p>
    <w:p>
      <w:pPr>
        <w:pStyle w:val="AnswerBody"/>
        <w:shd w:fill="F4F6F9"/>
        <w:numPr>
          <w:ilvl w:val="0"/>
          <w:numId w:val="10"/>
        </w:numPr>
      </w:pPr>
      <w:r>
        <w:rPr>
          <w:rFonts w:ascii="Calibri" w:hAnsi="Calibri" w:eastAsia="Malgun Gothic"/>
          <w:b w:val="0"/>
          <w:sz w:val="19"/>
        </w:rPr>
        <w:t>DNV-RU-SHIP Pt.3 Ch.4 Sec.3 [3.3] [1]</w:t>
      </w:r>
    </w:p>
    <w:p>
      <w:pPr>
        <w:pStyle w:val="AnswerBody"/>
        <w:shd w:fill="F4F6F9"/>
        <w:numPr>
          <w:ilvl w:val="0"/>
          <w:numId w:val="10"/>
        </w:numPr>
      </w:pPr>
      <w:r>
        <w:rPr>
          <w:rFonts w:ascii="Calibri" w:hAnsi="Calibri" w:eastAsia="Malgun Gothic"/>
          <w:b w:val="0"/>
          <w:sz w:val="19"/>
        </w:rPr>
        <w:t>DNV-RU-HSLC Pt.3 Ch.1 Sec.3 [2]</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있음 · 전통적 C 가스 운반선에 대한 설명은 정확하나, 질문의 핵심인 '표준 가스 운반선(standard gas carriers)'에 대한 답변이 누락되었으며, 인용 정보에 원문에 없는 DNV-RU-HSLC Pt.3 Ch.1 Sec.3 [2]가 포함되어 근거 없는 수치가 생성됨.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DNV-CG-0135.pdf · p.15</w:t>
      </w:r>
    </w:p>
    <w:p>
      <w:pPr>
        <w:pStyle w:val="ItemHeading"/>
        <w:shd w:fill="E9F5EE"/>
        <w:pBdr>
          <w:left w:val="single" w:sz="18" w:space="8" w:color="246B46"/>
        </w:pBdr>
      </w:pPr>
      <w:r>
        <w:rPr>
          <w:rFonts w:ascii="Calibri" w:hAnsi="Calibri" w:eastAsia="Malgun Gothic"/>
          <w:b/>
          <w:color w:val="1F4D78"/>
          <w:sz w:val="23"/>
        </w:rPr>
        <w:t>BPDF-DNV-034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측면 출입구(side scuttles) 및 창문의 유형 승인(TA) 인증 시, 서로 다른 프레임 구조나 개폐 방식이 적용된 경우 인증서 발급은 어떻게 처리되나요?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서로 다른 유형의 프레임 또는 프레임 구조(예: 안쪽/바깥쪽 개변, 측면/상단 힌지)를 가진 유리는 서로 다른 등급으로 간주되며 각각 별도의 인증서를 받아야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 유형 승인(TA) 인증서는 하나의 등급에 대해서만 발행되며, 이는 한 종류의 유리 타입(단층 안전 유리, 적층 안전 유리 등)을 의미합니다. [3]</w:t>
      </w:r>
    </w:p>
    <w:p>
      <w:pPr>
        <w:pStyle w:val="AnswerBody"/>
        <w:shd w:fill="F4F6F9"/>
        <w:numPr>
          <w:ilvl w:val="0"/>
          <w:numId w:val="10"/>
        </w:numPr>
      </w:pPr>
      <w:r>
        <w:rPr>
          <w:rFonts w:ascii="Calibri" w:hAnsi="Calibri" w:eastAsia="Malgun Gothic"/>
          <w:b w:val="0"/>
          <w:sz w:val="19"/>
        </w:rPr>
        <w:t>서로 다른 프레임 구조나 개폐 방식(예: 안쪽 또는 바깥쪽으로 열림, 측면 또는 상단 경첩 등)이 적용된 유리는 서로 다른 등급(grade)으로 간주되며, 각각 별도의 인증서로 처리됩니다.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서로 다른 프레임 구조나 개폐 방식을 가진 제품을 승인받으려면 각각에 대해 별도의 유형 승인(TA) 절차를 수행하고 인증서를 확보해야 합니다. [3]</w:t>
      </w:r>
    </w:p>
    <w:p>
      <w:pPr>
        <w:pStyle w:val="AnswerBody"/>
        <w:shd w:fill="F4F6F9"/>
        <w:numPr>
          <w:ilvl w:val="0"/>
          <w:numId w:val="10"/>
        </w:numPr>
      </w:pPr>
      <w:r>
        <w:rPr>
          <w:rFonts w:ascii="Calibri" w:hAnsi="Calibri" w:eastAsia="Malgun Gothic"/>
          <w:b w:val="0"/>
          <w:sz w:val="19"/>
        </w:rPr>
        <w:t>합성 재료의 경우, 한 등급은 하나의 재질(예: 폴리카보네이트, 아크릴 등)과 관련됩니다. [3]</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DNV-CP-0094, Section 1.2 [3]</w:t>
      </w:r>
    </w:p>
    <w:p>
      <w:pPr>
        <w:pStyle w:val="AnswerBody"/>
        <w:shd w:fill="F4F6F9"/>
        <w:numPr>
          <w:ilvl w:val="0"/>
          <w:numId w:val="10"/>
        </w:numPr>
      </w:pPr>
      <w:r>
        <w:rPr>
          <w:rFonts w:ascii="Calibri" w:hAnsi="Calibri" w:eastAsia="Malgun Gothic"/>
          <w:b w:val="0"/>
          <w:sz w:val="19"/>
        </w:rPr>
        <w:t>DNV-OS-C301, Page 32, Clause 4 [1]</w:t>
      </w:r>
    </w:p>
    <w:p>
      <w:pPr>
        <w:pStyle w:val="AnswerBody"/>
        <w:shd w:fill="F4F6F9"/>
        <w:numPr>
          <w:ilvl w:val="0"/>
          <w:numId w:val="10"/>
        </w:numPr>
      </w:pPr>
      <w:r>
        <w:rPr>
          <w:rFonts w:ascii="Calibri" w:hAnsi="Calibri" w:eastAsia="Malgun Gothic"/>
          <w:b w:val="0"/>
          <w:sz w:val="19"/>
        </w:rPr>
        <w:t>DNV-OS-C301, Page 41, Clause 5.3.9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원문의 핵심 내용(프레임 구조/개폐 방식에 따른 별도 인증서 발급)을 정확하게 반영하고 있으며, 추가적인 정보(합성 재료 등)도 원문에 기반하여 적절히 포함함.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DNV-CP-0094.pdf · p.5</w:t>
      </w:r>
    </w:p>
    <w:p>
      <w:pPr>
        <w:pStyle w:val="ItemHeading"/>
        <w:shd w:fill="FDECEC"/>
        <w:pBdr>
          <w:left w:val="single" w:sz="18" w:space="8" w:color="9B1C1C"/>
        </w:pBdr>
      </w:pPr>
      <w:r>
        <w:rPr>
          <w:rFonts w:ascii="Calibri" w:hAnsi="Calibri" w:eastAsia="Malgun Gothic"/>
          <w:b/>
          <w:color w:val="1F4D78"/>
          <w:sz w:val="23"/>
        </w:rPr>
        <w:t>BPDF-DNV-035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DNV-RU-SHIP-Pt6.pdf 문서에 따르면, CA 챔버 진입 전 가스 제거(gas freeing)가 완료되었는지 확인하기 위해 필요한 절차는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CA 챔버 진입 전 가스 제거 완료 여부를 확인하는 절차(procedures for checking completed gas freeing prior to entry of CA chambers)</w:t>
      </w:r>
    </w:p>
    <w:p>
      <w:pPr>
        <w:pStyle w:val="FieldBody"/>
        <w:ind w:left="202" w:right="86"/>
        <w:shd w:fill="E8EEF5"/>
        <w:pBdr>
          <w:left w:val="single" w:sz="14" w:space="8" w:color="2E74B5"/>
        </w:pBdr>
      </w:pPr>
      <w:r>
        <w:rPr>
          <w:rFonts w:ascii="Calibri" w:hAnsi="Calibri" w:eastAsia="Malgun Gothic"/>
          <w:b w:val="0"/>
          <w:sz w:val="21"/>
        </w:rPr>
        <w:t>질소 주입 전 동일한 메인 해치 아래에 있는 모든 챔버의 가스 제거(gas freeing)를 완료해야 한다는 지침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DNV-RU-SHIP-Pt6.pdf 문서의 조항 9에 가스 제거 절차(gas freeing procedures)가 명시되어 있습니다.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DNV-RU-SHIP-Pt6.pdf, 조항 9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없음 · 답변이 '가스 제거 절차'의 존재 여부만 언급할 뿐, 질문에서 요구한 'CA 챔버 진입 전 가스 제거 완료를 확인하기 위한 구체적인 절차(procedures for checking completed gas freeing)'에 대한 내용을 포함하지 못했습니다.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DNV-RU-SHIP-Pt6.pdf · p.1391</w:t>
      </w:r>
    </w:p>
    <w:p>
      <w:pPr>
        <w:pStyle w:val="ItemHeading"/>
        <w:shd w:fill="FDECEC"/>
        <w:pBdr>
          <w:left w:val="single" w:sz="18" w:space="8" w:color="9B1C1C"/>
        </w:pBdr>
      </w:pPr>
      <w:r>
        <w:rPr>
          <w:rFonts w:ascii="Calibri" w:hAnsi="Calibri" w:eastAsia="Malgun Gothic"/>
          <w:b/>
          <w:color w:val="1F4D78"/>
          <w:sz w:val="23"/>
        </w:rPr>
        <w:t>BPDF-DNV-036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압력용기 설계 시 구형 쉘의 편평도(out-of-roundness)를 고려할 때, 계산에 반영되는 국부 곡률 반경과 허용되는 최대 편평도의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압력 계산 시 구형 쉘의 국부 곡률 반경(Ro,l)은 외측 공칭 반경(Ro)의 1.3배를 적용하며, 이는 최대 편평도 u = 0.218 * sl / Ro까지 유효하다.</w:t>
      </w:r>
    </w:p>
    <w:p>
      <w:pPr>
        <w:pStyle w:val="FieldBody"/>
        <w:ind w:left="202" w:right="86"/>
        <w:shd w:fill="E8EEF5"/>
        <w:pBdr>
          <w:left w:val="single" w:sz="14" w:space="8" w:color="2E74B5"/>
        </w:pBdr>
      </w:pPr>
      <w:r>
        <w:rPr>
          <w:rFonts w:ascii="Calibri" w:hAnsi="Calibri" w:eastAsia="Malgun Gothic"/>
          <w:b w:val="0"/>
          <w:sz w:val="21"/>
        </w:rPr>
        <w:t>부식 여유(corrosion allowance)를 고려할 경우 외경은 유지하고 쉘의 공칭 두께에서 해당 값을 차감하여 계산한다.</w:t>
      </w:r>
    </w:p>
    <w:p>
      <w:pPr>
        <w:pStyle w:val="FieldBody"/>
        <w:ind w:left="202" w:right="86"/>
        <w:shd w:fill="E8EEF5"/>
        <w:pBdr>
          <w:left w:val="single" w:sz="14" w:space="8" w:color="2E74B5"/>
        </w:pBdr>
      </w:pPr>
      <w:r>
        <w:rPr>
          <w:rFonts w:ascii="Calibri" w:hAnsi="Calibri" w:eastAsia="Malgun Gothic"/>
          <w:b w:val="0"/>
          <w:sz w:val="21"/>
        </w:rPr>
        <w:t>기계 가공된 구형 쉘의 경우 제조 시점에서 국부 곡률 반경이 Ro의 1.05배 미만으로 제작될 수 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질문에 대한 정보를 전혀 제공하지 못하고 '근거를 찾지 못했다'고 답변하였으므로 모든 점수가 0점입니다.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DNV-RU-UWT-Pt3.pdf · p.75</w:t>
      </w:r>
    </w:p>
    <w:p>
      <w:pPr>
        <w:pStyle w:val="ItemHeading"/>
        <w:shd w:fill="E9F5EE"/>
        <w:pBdr>
          <w:left w:val="single" w:sz="18" w:space="8" w:color="246B46"/>
        </w:pBdr>
      </w:pPr>
      <w:r>
        <w:rPr>
          <w:rFonts w:ascii="Calibri" w:hAnsi="Calibri" w:eastAsia="Malgun Gothic"/>
          <w:b/>
          <w:color w:val="1F4D78"/>
          <w:sz w:val="23"/>
        </w:rPr>
        <w:t>BPDF-DNV-037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DNV-CP-0350은 어떤 압력용기 부품 제조사의 승인에 적용되며, 함께 적용해야 하는 일반 요구사항 문서는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압력용기용 압착 부품(pressed parts for pressure vessels), 이음매 없는 가스 실린더(seamless gas cylinders), 축압기 쉘(accumulator shells) 제조사의 승인에 적용됨</w:t>
      </w:r>
    </w:p>
    <w:p>
      <w:pPr>
        <w:pStyle w:val="FieldBody"/>
        <w:ind w:left="202" w:right="86"/>
        <w:shd w:fill="E8EEF5"/>
        <w:pBdr>
          <w:left w:val="single" w:sz="14" w:space="8" w:color="2E74B5"/>
        </w:pBdr>
      </w:pPr>
      <w:r>
        <w:rPr>
          <w:rFonts w:ascii="Calibri" w:hAnsi="Calibri" w:eastAsia="Malgun Gothic"/>
          <w:b w:val="0"/>
          <w:sz w:val="21"/>
        </w:rPr>
        <w:t>일반 요구사항, 조건 및 절차에 관한 설명은 DNV-CP-0346을 참조해야 하며, 이는 본 프로그램과 결합되어 적용됨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DNV-CP-0350은 압력용기용 가압 부품(pressed parts for pressure vessels), 이음매 없는 가스 실린더(seamless gas cylinders), 축압기 쉘(accumulator shells) 제조사의 승인에 적용됩니다. [1]</w:t>
      </w:r>
    </w:p>
    <w:p>
      <w:pPr>
        <w:pStyle w:val="AnswerBody"/>
        <w:shd w:fill="F4F6F9"/>
        <w:numPr>
          <w:ilvl w:val="0"/>
          <w:numId w:val="10"/>
        </w:numPr>
      </w:pPr>
      <w:r>
        <w:rPr>
          <w:rFonts w:ascii="Calibri" w:hAnsi="Calibri" w:eastAsia="Malgun Gothic"/>
          <w:b w:val="0"/>
          <w:sz w:val="19"/>
        </w:rPr>
        <w:t>해당 프로그램과 함께 DNV-CP-0346을 결합하여 적용해야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가스 실린더 및 축압기 쉘의 제조사 승인은 DNV-CP-0261과 결합하여 적용됩니다. [1]</w:t>
      </w:r>
    </w:p>
    <w:p>
      <w:pPr>
        <w:pStyle w:val="AnswerBody"/>
        <w:shd w:fill="F4F6F9"/>
        <w:numPr>
          <w:ilvl w:val="0"/>
          <w:numId w:val="10"/>
        </w:numPr>
      </w:pPr>
      <w:r>
        <w:rPr>
          <w:rFonts w:ascii="Calibri" w:hAnsi="Calibri" w:eastAsia="Malgun Gothic"/>
          <w:b w:val="0"/>
          <w:sz w:val="19"/>
        </w:rPr>
        <w:t>용접 작업이나 압력 부품의 최종 조립은 본 프로그램(DNV-CP-0350)에 포함되지 않으며, 각각 용접 작업장 승인(DNV-CP-0352) 및 압력 장비 제조사 승인(DNV-CP-0261)과 같은 추가 승인이 필요합니다.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DNV-CP-0350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질문에서 요구한 제조사 승인 대상 부품과 결합 적용 문서(DNV-CP-0346)를 정확하게 답변하였으며, 추가 정보로 포함된 DNV-CP-0261 관련 내용도 원문에 근거함.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DNV-CP-0350.pdf · p.5</w:t>
      </w:r>
    </w:p>
    <w:p>
      <w:pPr>
        <w:pStyle w:val="ItemHeading"/>
        <w:shd w:fill="FDECEC"/>
        <w:pBdr>
          <w:left w:val="single" w:sz="18" w:space="8" w:color="9B1C1C"/>
        </w:pBdr>
      </w:pPr>
      <w:r>
        <w:rPr>
          <w:rFonts w:ascii="Calibri" w:hAnsi="Calibri" w:eastAsia="Malgun Gothic"/>
          <w:b/>
          <w:color w:val="1F4D78"/>
          <w:sz w:val="23"/>
        </w:rPr>
        <w:t>BPDF-DNV-038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DNV에서 수행하는 SCR 시스템 형식 시험(type test)을 시작하기 전에 제출해야 하는 서류 항목은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형식 시험 전 측정 장비, 테스트 설정, 배기 성분·질량 유량 및 온도 챔버 상세 정보(촉매 블록 설계 및 개수 등)를 제출해야 합니다.</w:t>
      </w:r>
    </w:p>
    <w:p>
      <w:pPr>
        <w:pStyle w:val="FieldBody"/>
        <w:ind w:left="202" w:right="86"/>
        <w:shd w:fill="E8EEF5"/>
        <w:pBdr>
          <w:left w:val="single" w:sz="14" w:space="8" w:color="2E74B5"/>
        </w:pBdr>
      </w:pPr>
      <w:r>
        <w:rPr>
          <w:rFonts w:ascii="Calibri" w:hAnsi="Calibri" w:eastAsia="Malgun Gothic"/>
          <w:b w:val="0"/>
          <w:sz w:val="21"/>
        </w:rPr>
        <w:t>형식 시험 전 제조사에서 사용한 모델링 절차에 따른 예측치를 DNV에 제시해야 하며, NOx 배출 저감 능력이 예상치와 같거나 높음을 입증해야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 TA 신청서; 2) 기능 설명서; 3) 설계 데이터/치수 (배관 길이, 노즐 직경, 운전 압력, 유량, 제트 길이). [1]</w:t>
      </w:r>
    </w:p>
    <w:p>
      <w:pPr>
        <w:pStyle w:val="AnswerBody"/>
        <w:shd w:fill="F4F6F9"/>
        <w:numPr>
          <w:ilvl w:val="0"/>
          <w:numId w:val="10"/>
        </w:numPr>
      </w:pPr>
      <w:r>
        <w:rPr>
          <w:rFonts w:ascii="Calibri" w:hAnsi="Calibri" w:eastAsia="Malgun Gothic"/>
          <w:b w:val="0"/>
          <w:sz w:val="19"/>
        </w:rPr>
        <w:t>4) 부품 목록 및 재질 사양과 연결된 부속품을 포함한 축척이 있는 조립도 및 단면도; 5) 해당되는 경우 상세 도면; 6) 고유 진동수 계산. [1]</w:t>
      </w:r>
    </w:p>
    <w:p>
      <w:pPr>
        <w:pStyle w:val="AnswerBody"/>
        <w:shd w:fill="F4F6F9"/>
        <w:numPr>
          <w:ilvl w:val="0"/>
          <w:numId w:val="10"/>
        </w:numPr>
      </w:pPr>
      <w:r>
        <w:rPr>
          <w:rFonts w:ascii="Calibri" w:hAnsi="Calibri" w:eastAsia="Malgun Gothic"/>
          <w:b w:val="0"/>
          <w:sz w:val="19"/>
        </w:rPr>
        <w:t>7) 형식 시험 프로그램 (사용될 노즐의 유형과 수가 명시되어야 함); 8) 시험 보고서; 9) 운전, 설치, 유지보수 및 허용 운전 매개변수를 포함한 지침서. [1]</w:t>
      </w:r>
    </w:p>
    <w:p>
      <w:pPr>
        <w:pStyle w:val="AnswerBody"/>
        <w:shd w:fill="F4F6F9"/>
        <w:numPr>
          <w:ilvl w:val="0"/>
          <w:numId w:val="10"/>
        </w:numPr>
      </w:pPr>
      <w:r>
        <w:rPr>
          <w:rFonts w:ascii="Calibri" w:hAnsi="Calibri" w:eastAsia="Malgun Gothic"/>
          <w:b w:val="0"/>
          <w:sz w:val="19"/>
        </w:rPr>
        <w:t>10) 기술 사양을 참조하여 제품을 명확하게 식별하기 위한 제조사의 제품 형식 지정 마킹(또는 기타 마킹)에 관한 정보; 11) 석면 미함유 선언; 12) 초기 평가 보고서. 시험 계획은 시험 전에 승인되어야 함. 이 문서들은 본 프로그램 및 기타 적용 가능한 규칙에 따라 평가될 것임. 제조사는 위에 나열된 문서를 포함하되 이에 국한되지 않는, 이 프로그램의 모든 요구 사항에 대한 문서를 제공해야 함. 제출되는 문서는 모든 요소를 쉽게 식별할 수 있도록 명확하게 라벨이 지정되고 구분되어야 함. 모든 도면과 설명에는 도면 번호, 품목명, 개정 번호 및/또는 발행일 등이 표시되어야 함. 문서는 형식 승인에 적합한 일반 도면이어야 함..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제조사는 해당 프로그램의 모든 요구사항에 대한 문서를 제공해야 하며, 이는 위에 나열된 문서들에 국한되지 않습니다. [1]</w:t>
      </w:r>
    </w:p>
    <w:p>
      <w:pPr>
        <w:pStyle w:val="AnswerBody"/>
        <w:shd w:fill="F4F6F9"/>
        <w:numPr>
          <w:ilvl w:val="0"/>
          <w:numId w:val="10"/>
        </w:numPr>
      </w:pPr>
      <w:r>
        <w:rPr>
          <w:rFonts w:ascii="Calibri" w:hAnsi="Calibri" w:eastAsia="Malgun Gothic"/>
          <w:b w:val="0"/>
          <w:sz w:val="19"/>
        </w:rPr>
        <w:t>제출되는 문서는 명확하게 라벨링되고 모든 요소를 쉽게 식별할 수 있도록 분류되어야 합니다. [1]</w:t>
      </w:r>
    </w:p>
    <w:p>
      <w:pPr>
        <w:pStyle w:val="AnswerBody"/>
        <w:shd w:fill="F4F6F9"/>
        <w:numPr>
          <w:ilvl w:val="0"/>
          <w:numId w:val="10"/>
        </w:numPr>
      </w:pPr>
      <w:r>
        <w:rPr>
          <w:rFonts w:ascii="Calibri" w:hAnsi="Calibri" w:eastAsia="Malgun Gothic"/>
          <w:b w:val="0"/>
          <w:sz w:val="19"/>
        </w:rPr>
        <w:t>모든 도면과 설명은 도면 번호, 품목명, 개정 번호 및/또는 발행일 등이 표시되어야 하며, 형식 승인에 적합한 일반적인(generic) 도면이어야 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DNV-CP-0211.pdf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골드 사실(측정 장비, 테스트 설정, 배기 성분 등)을 전혀 언급하지 않고, 다른 문서(DNV-CP-0211)의 내용을 바탕으로 한 엉뚱한 서류 목록을 나열하고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DNV-CP-0353.pdf · p.9</w:t>
      </w:r>
    </w:p>
    <w:p>
      <w:pPr>
        <w:pStyle w:val="ItemHeading"/>
        <w:shd w:fill="FDECEC"/>
        <w:pBdr>
          <w:left w:val="single" w:sz="18" w:space="8" w:color="9B1C1C"/>
        </w:pBdr>
      </w:pPr>
      <w:r>
        <w:rPr>
          <w:rFonts w:ascii="Calibri" w:hAnsi="Calibri" w:eastAsia="Malgun Gothic"/>
          <w:b/>
          <w:color w:val="1F4D78"/>
          <w:sz w:val="23"/>
        </w:rPr>
        <w:t>BPDF-DNV-039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주 추진 및 필수 보조 장치용 클러치의 형식 승인(TA) 시, 어떤 경우에 일반적인 요구사항과 다른 시험 절차를 적용받을 수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특수하거나 새로운 설계의 경우 사례별 승인을 통해 해당 TA 절차의 요건에서 벗어난 일련의 시험을 거칠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접방법 또는 KR(한국선급)에 의해 필요한 것으로 인정되는 경우에는 추가적인 시험재 또는 시험항목을 요구받을 수 있다. [2]</w:t>
      </w:r>
    </w:p>
    <w:p>
      <w:pPr>
        <w:pStyle w:val="AnswerBody"/>
        <w:shd w:fill="F4F6F9"/>
        <w:numPr>
          <w:ilvl w:val="0"/>
          <w:numId w:val="10"/>
        </w:numPr>
      </w:pPr>
      <w:r>
        <w:rPr>
          <w:rFonts w:ascii="Calibri" w:hAnsi="Calibri" w:eastAsia="Malgun Gothic"/>
          <w:b w:val="0"/>
          <w:sz w:val="19"/>
        </w:rPr>
        <w:t>시험의 내용이 표 2.2.6에 정한 것과 다른 경우, 해당 시험을 수행하기 전에 KR의 승인을 받아야 한다.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시험 내용이 표 2.2.6에 정한 것과 다른 경우, 해당 시험 수행 전 KR의 승인 조치가 필요하다. [2]</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제조법 및 형식승인 등에 관한 지침_2025.pdf (조항 233)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골드 원문의 '특수하거나 새로운 설계(special or new designs)'라는 조건을 완전히 무시하고, 전혀 다른 조건인 '접방법 또는 KR 인정' 및 '표 2.2.6'이라는 근거 없는 수치를 생성함. 또한 질문에 대한 핵심 답변과 무관한 내용을 기술함.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DNV-CP-0149.pdf · p.5</w:t>
      </w:r>
    </w:p>
    <w:p>
      <w:pPr>
        <w:pStyle w:val="ItemHeading"/>
        <w:shd w:fill="FDECEC"/>
        <w:pBdr>
          <w:left w:val="single" w:sz="18" w:space="8" w:color="9B1C1C"/>
        </w:pBdr>
      </w:pPr>
      <w:r>
        <w:rPr>
          <w:rFonts w:ascii="Calibri" w:hAnsi="Calibri" w:eastAsia="Malgun Gothic"/>
          <w:b/>
          <w:color w:val="1F4D78"/>
          <w:sz w:val="23"/>
        </w:rPr>
        <w:t>BPDF-DNV-040</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해상 LAN 수평 배선 구리 영구 링크에 대한 형식 승인(TA) 인증을 획득할 때, 해당 인증이 다른 규칙의 요구사항까지 준수함을 보증하는지 설명해주세요.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형식 승인(TA) 인증은 본 프로그램에서 명시된 DNV 규칙 내의 요건 준수만을 확인하며, 다른 부분의 규칙에 대한 준수는 보증하지 않습니다.</w:t>
      </w:r>
    </w:p>
    <w:p>
      <w:pPr>
        <w:pStyle w:val="FieldBody"/>
        <w:ind w:left="202" w:right="86"/>
        <w:shd w:fill="E8EEF5"/>
        <w:pBdr>
          <w:left w:val="single" w:sz="14" w:space="8" w:color="2E74B5"/>
        </w:pBdr>
      </w:pPr>
      <w:r>
        <w:rPr>
          <w:rFonts w:ascii="Calibri" w:hAnsi="Calibri" w:eastAsia="Malgun Gothic"/>
          <w:b w:val="0"/>
          <w:sz w:val="21"/>
        </w:rPr>
        <w:t>다른 규칙의 추가 요구사항을 포함해야 하는 경우, 이는 신청 시 명시되어야 하며 해당 인증서에 기재됩니다.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해상 LAN 수평 배선 구리 영구 링크에 대한 형식 승인(TA) 인증이 다른 규칙의 요구사항을 준수함을 보증하는지 여부는 검색 근거에서 확인되지 않음. [1], [2],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해상 기자재 사이버보안 적합성 인증 지침_2023.pdf [1]</w:t>
      </w:r>
    </w:p>
    <w:p>
      <w:pPr>
        <w:pStyle w:val="AnswerBody"/>
        <w:shd w:fill="F4F6F9"/>
        <w:numPr>
          <w:ilvl w:val="0"/>
          <w:numId w:val="10"/>
        </w:numPr>
      </w:pPr>
      <w:r>
        <w:rPr>
          <w:rFonts w:ascii="Calibri" w:hAnsi="Calibri" w:eastAsia="Malgun Gothic"/>
          <w:b w:val="0"/>
          <w:sz w:val="19"/>
        </w:rPr>
        <w:t>제조법 및 형식승인 등에 관한 지침_2025.pdf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원문에는 '다른 규칙의 요구사항을 보증하지 않으며, 추가 요구사항이 있는 경우에만 신청 시 명시하여 인증서에 기재한다'는 내용이 명확히 존재하나, 답변은 이를 확인 불가로 처리하여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DNV-CP-0404.pdf · p.5</w:t>
      </w:r>
    </w:p>
    <w:p>
      <w:pPr>
        <w:pStyle w:val="ItemHeading"/>
        <w:shd w:fill="E9F5EE"/>
        <w:pBdr>
          <w:left w:val="single" w:sz="18" w:space="8" w:color="246B46"/>
        </w:pBdr>
      </w:pPr>
      <w:r>
        <w:rPr>
          <w:rFonts w:ascii="Calibri" w:hAnsi="Calibri" w:eastAsia="Malgun Gothic"/>
          <w:b/>
          <w:color w:val="1F4D78"/>
          <w:sz w:val="23"/>
        </w:rPr>
        <w:t>BPDF-DNV-041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DNV-SI-0289 문서에서 제시하는 해석(interpretations)은 어떤 상황에서 제공되나요?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기선국 요구사항, IACS 통합 해석(UIs) 또는 기타 해석이 존재하지 않는 경우에 해당 문서의 해석을 제공한다.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본 문서에 기술된 요건에 대한 해석은 기국 요구사항, IACS 통합 해석(UIs) 또는 기타 해석이 존재하지 않는 상황에서 제공된다.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세 가지 조건(기선국 요구사항, IACS 통합 해석, 기타 해석의 부재)을 정확하게 포함하고 있으며 질문에 직접적으로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DNV-SI-0289.pdf · p.5, 6</w:t>
      </w:r>
    </w:p>
    <w:p>
      <w:pPr>
        <w:pStyle w:val="ItemHeading"/>
        <w:shd w:fill="FDECEC"/>
        <w:pBdr>
          <w:left w:val="single" w:sz="18" w:space="8" w:color="9B1C1C"/>
        </w:pBdr>
      </w:pPr>
      <w:r>
        <w:rPr>
          <w:rFonts w:ascii="Calibri" w:hAnsi="Calibri" w:eastAsia="Malgun Gothic"/>
          <w:b/>
          <w:color w:val="1F4D78"/>
          <w:sz w:val="23"/>
        </w:rPr>
        <w:t>BPDF-DNV-042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배터리 시스템의 용량이 한 공간 내에서 25MWh를 초과하는 경우, 추가적인 방화벽 설치 대신 적용할 수 있는 대안은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용량이 25MWh를 초과하는 EES 시스템의 경우, IMO MSC/Circ.1002에 따른 공학적 분석(engineering analysis)을 통해 SOLAS 챕터 II-2의 화재 안전 목표 및 기능적 요구사항을 충족함을 입증함으로써 대안 설계를 문서화할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해당 질문에 대한 직접적인 대안은 검색 근거에서 확인되지 않음.</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선박용 배터리시스템 지침_2025.pdf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'검색 근거에서 확인되지 않음'이라고 답변했으나, 골드 원문(B. Alternative engineering analysis)에 해당 내용이 명확히 기재되어 있어 사실 관계를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DNV-CG-0660.pdf · p.31</w:t>
      </w:r>
    </w:p>
    <w:p>
      <w:pPr>
        <w:pStyle w:val="ItemHeading"/>
        <w:shd w:fill="E9F5EE"/>
        <w:pBdr>
          <w:left w:val="single" w:sz="18" w:space="8" w:color="246B46"/>
        </w:pBdr>
      </w:pPr>
      <w:r>
        <w:rPr>
          <w:rFonts w:ascii="Calibri" w:hAnsi="Calibri" w:eastAsia="Malgun Gothic"/>
          <w:b/>
          <w:color w:val="1F4D78"/>
          <w:sz w:val="23"/>
        </w:rPr>
        <w:t>BPDF-DNV-043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DNV-CP-0407 문서에서 규정하는 케이블 타이(cable ties)의 형식승인(TA) 절차와 요구사항은 무엇을 다루고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이 CP는 케이블 타이의 형식승인(TA)에 적용되는 문서화, 설계 및 유형 시험과 관련된 절차와 요구사항를 기술합니다.</w:t>
      </w:r>
    </w:p>
    <w:p>
      <w:pPr>
        <w:pStyle w:val="FieldBody"/>
        <w:ind w:left="202" w:right="86"/>
        <w:shd w:fill="E8EEF5"/>
        <w:pBdr>
          <w:left w:val="single" w:sz="14" w:space="8" w:color="2E74B5"/>
        </w:pBdr>
      </w:pPr>
      <w:r>
        <w:rPr>
          <w:rFonts w:ascii="Calibri" w:hAnsi="Calibri" w:eastAsia="Malgun Gothic"/>
          <w:b w:val="0"/>
          <w:sz w:val="21"/>
        </w:rPr>
        <w:t>이 CP는 케이블 타이 자체에 대한 설계 요구사항을 설정하지 않으며, 형식승인은 규칙 및 기타 규정/표준의 설계 요구사항 준수를 기반으로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해당 문서는 TA 인증을 획득하기 위해 적용 가능한 설계 요구사항과 이를 증명하는 방법, 그리고 관련되는 경우 형식 시험 수행 방법에 대한 기술적 요구사항을 설명한다. [2]</w:t>
      </w:r>
    </w:p>
    <w:p>
      <w:pPr>
        <w:pStyle w:val="AnswerBody"/>
        <w:shd w:fill="F4F6F9"/>
        <w:numPr>
          <w:ilvl w:val="0"/>
          <w:numId w:val="10"/>
        </w:numPr>
      </w:pPr>
      <w:r>
        <w:rPr>
          <w:rFonts w:ascii="Calibri" w:hAnsi="Calibri" w:eastAsia="Malgun Gothic"/>
          <w:b w:val="0"/>
          <w:sz w:val="19"/>
        </w:rPr>
        <w:t>DNV-CP-0407은 케이블 타이(cable ties)에 대한 형식승인(TA) 체계(scheme)를 기술하는 것을 목적으로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케이블 타이의 TA 인증을 획득하기 위한 문서화 및 설계 준수 여부 입증 절차를 확인해야 한다. [2]</w:t>
      </w:r>
    </w:p>
    <w:p>
      <w:pPr>
        <w:pStyle w:val="AnswerBody"/>
        <w:shd w:fill="F4F6F9"/>
        <w:numPr>
          <w:ilvl w:val="0"/>
          <w:numId w:val="10"/>
        </w:numPr>
      </w:pPr>
      <w:r>
        <w:rPr>
          <w:rFonts w:ascii="Calibri" w:hAnsi="Calibri" w:eastAsia="Malgun Gothic"/>
          <w:b w:val="0"/>
          <w:sz w:val="19"/>
        </w:rPr>
        <w:t>형식 시험 수행 시 관련 기술적 요구사항을 검토하고 반영해야 한다.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일반적인 DNV의 형식승인 체계, 일반 조건 및 인증 취득 절차에 대한 상세 정보는 DNV-CP-0338 Type approval scheme를 참조해야 한다. [1]</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DNV-CP-0407 [1], [2]</w:t>
      </w:r>
    </w:p>
    <w:p>
      <w:pPr>
        <w:pStyle w:val="AnswerBody"/>
        <w:shd w:fill="F4F6F9"/>
        <w:numPr>
          <w:ilvl w:val="0"/>
          <w:numId w:val="10"/>
        </w:numPr>
      </w:pPr>
      <w:r>
        <w:rPr>
          <w:rFonts w:ascii="Calibri" w:hAnsi="Calibri" w:eastAsia="Malgun Gothic"/>
          <w:b w:val="0"/>
          <w:sz w:val="19"/>
        </w:rPr>
        <w:t>DNV-CP-0338 Type approval scheme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문서의 목적(TA 체계 기술), 범위(문서화, 설계, 시험 관련 절차 및 요구사항), 그리고 자체적인 설계 요구사항을 설정하지 않는다는 핵심 내용을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DNV-CP-0407.pdf · p.5</w:t>
      </w:r>
    </w:p>
    <w:p>
      <w:pPr>
        <w:pStyle w:val="ItemHeading"/>
        <w:shd w:fill="FFF6DA"/>
        <w:pBdr>
          <w:left w:val="single" w:sz="18" w:space="8" w:color="7A5A00"/>
        </w:pBdr>
      </w:pPr>
      <w:r>
        <w:rPr>
          <w:rFonts w:ascii="Calibri" w:hAnsi="Calibri" w:eastAsia="Malgun Gothic"/>
          <w:b/>
          <w:color w:val="1F4D78"/>
          <w:sz w:val="23"/>
        </w:rPr>
        <w:t>BPDF-DNV-044</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정밀한 분석을 대신하여 무거운 부품(heavy parts)의 해상 운송 조건 설계 하중을 산정할 때 적용되는 힘의 기준은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15도 단일 진폭 롤 또는 피치(10초 주기)에 의한 가속도 하중의 100%와 최대 진폭의 정적 하중의 120%를 동시에 고려하여 설계해야 합니다.</w:t>
      </w:r>
    </w:p>
    <w:p>
      <w:pPr>
        <w:pStyle w:val="FieldBody"/>
        <w:ind w:left="202" w:right="86"/>
        <w:shd w:fill="E8EEF5"/>
        <w:pBdr>
          <w:left w:val="single" w:sz="14" w:space="8" w:color="2E74B5"/>
        </w:pBdr>
      </w:pPr>
      <w:r>
        <w:rPr>
          <w:rFonts w:ascii="Calibri" w:hAnsi="Calibri" w:eastAsia="Malgun Gothic"/>
          <w:b w:val="0"/>
          <w:sz w:val="21"/>
        </w:rPr>
        <w:t>해당 기준은 풍하중이 포함되지 않은 상태이며, 15도(10초 주기)의 롤 또는 피치 조건에는 힐브(heave), 스웨이(sway), 서지(surge) 운동에 의한 하중 효과가 포함된 것으로 간주합니다.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정밀한 분석을 대신하여 무거운 부품(heavy parts)의 해상 운송 조건 설계 하중을 산정할 때, 동시에 작용하는 것으로 간주되는 힘들을 기준으로 설계해야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DNV-OS-C104, 조항 2.2.6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1/4 · 직접응답 예 · 모순 없음 · 근거 없는 구체 주장 없음 · 질문에서 요구한 구체적인 수치(100% 가속도 하중, 120% 정적 하중 등)와 조건(15도 단일 진폭, 10초 주기)이 답변에 전혀 포함되지 않고 일반적인 서술로 대체되었습니다.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DNV-OS-C104.pdf · p.16, 17</w:t>
      </w:r>
    </w:p>
    <w:p>
      <w:pPr>
        <w:pStyle w:val="ItemHeading"/>
        <w:shd w:fill="FDECEC"/>
        <w:pBdr>
          <w:left w:val="single" w:sz="18" w:space="8" w:color="9B1C1C"/>
        </w:pBdr>
      </w:pPr>
      <w:r>
        <w:rPr>
          <w:rFonts w:ascii="Calibri" w:hAnsi="Calibri" w:eastAsia="Malgun Gothic"/>
          <w:b/>
          <w:color w:val="1F4D78"/>
          <w:sz w:val="23"/>
        </w:rPr>
        <w:t>BPDF-DNV-045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DNV의 DRILL 인증을 위해 승인되어야 하는 시추 설비(drilling plant)의 구성 요소에는 무엇이 포함됩니까?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DRILL 인증은 시추 배치, 배관 및 계장, 전력 공급, 장비 인터페이스를 포함하는 전체 시추 설비의 승인을 요구합니다.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DNV-SI-0166.pdf의 Section 7에 따라, 시추 설비(drilling plant)는 DRILL(N) 인증을 통해 포함될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항목은 AOC(Acknowledgement of Compliance) 범위에는 포함되지 않으나, DRILL(N) 인증을 통해 다루어질 수 있는 것으로 분류됩니다.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DNV-SI-0166.pdf, Section 7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시추 설비의 구성 요소(배관, 계장, 전력 등)를 묻고 있으나, 답변은 해당 내용에 전혀 언급하지 않고 다른 인증 범위와 관련 없는 내용을 나열함.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DNV-CG-0170.pdf · p.93</w:t>
      </w:r>
    </w:p>
    <w:p>
      <w:pPr>
        <w:pStyle w:val="ItemHeading"/>
        <w:shd w:fill="FDECEC"/>
        <w:pBdr>
          <w:left w:val="single" w:sz="18" w:space="8" w:color="9B1C1C"/>
        </w:pBdr>
      </w:pPr>
      <w:r>
        <w:rPr>
          <w:rFonts w:ascii="Calibri" w:hAnsi="Calibri" w:eastAsia="Malgun Gothic"/>
          <w:b/>
          <w:color w:val="1F4D78"/>
          <w:sz w:val="23"/>
        </w:rPr>
        <w:t>BPDF-DNV-046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충격 시험이 요구되지 않는 강종에 대해 두께가 10mm 이상인 제품의 경우 어떤 시험을 수행해야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충격 시험 요구사항이 명시되지 않은 모든 강종(All steel grades without specified impact toughness requirements)에 대해 두께가 10mm 이상인 제품은 샤르피 V-노치 시편(Charpy V-notch specimens)으로 충격 시험을 수행해야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DNV-OS-E101에 따르면, 압력 제어 구성품용 재료가 최소 설계 온도(MDT) -0°C 미만이고 특정 조건(BOP 스택 또는 분기 밸브 등)에 해당할 경우, 재료 두께와 관계없이 종방향 시편에 대해 최소 27 J의 Charpy V-notch 충격 인성치를 확보해야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 (질문에서 언급한 '충격 시험이 요구되지 않는 강종' 중 두께가 10mm 이상인 경우에 대한 특정 대체 시험이나 별도의 규정은 명시된 문서 내에서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DNV-OS-E101 [1]</w:t>
      </w:r>
    </w:p>
    <w:p>
      <w:pPr>
        <w:pStyle w:val="AnswerBody"/>
        <w:shd w:fill="F4F6F9"/>
        <w:numPr>
          <w:ilvl w:val="0"/>
          <w:numId w:val="10"/>
        </w:numPr>
      </w:pPr>
      <w:r>
        <w:rPr>
          <w:rFonts w:ascii="Calibri" w:hAnsi="Calibri" w:eastAsia="Malgun Gothic"/>
          <w:b w:val="0"/>
          <w:sz w:val="19"/>
        </w:rPr>
        <w:t>DNV-OS-C401 [2]</w:t>
      </w:r>
    </w:p>
    <w:p>
      <w:pPr>
        <w:pStyle w:val="AnswerBody"/>
        <w:shd w:fill="F4F6F9"/>
        <w:numPr>
          <w:ilvl w:val="0"/>
          <w:numId w:val="10"/>
        </w:numPr>
      </w:pPr>
      <w:r>
        <w:rPr>
          <w:rFonts w:ascii="Calibri" w:hAnsi="Calibri" w:eastAsia="Malgun Gothic"/>
          <w:b w:val="0"/>
          <w:sz w:val="19"/>
        </w:rPr>
        <w:t>DNV-RU-SHIP-Pt2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답변은 질문에서 요구한 '충격 시험이 요구되지 않는 강종(10mm 이상)'에 대한 답변을 제공하지 못하고 다른 조건(MDT -0°C 미만 등)을 언급했으며, 골드 사실과 상반되는 내용을 포함함.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DNV-CP-0252.pdf · p.14</w:t>
      </w:r>
    </w:p>
    <w:p>
      <w:pPr>
        <w:pStyle w:val="ItemHeading"/>
        <w:shd w:fill="FDECEC"/>
        <w:pBdr>
          <w:left w:val="single" w:sz="18" w:space="8" w:color="9B1C1C"/>
        </w:pBdr>
      </w:pPr>
      <w:r>
        <w:rPr>
          <w:rFonts w:ascii="Calibri" w:hAnsi="Calibri" w:eastAsia="Malgun Gothic"/>
          <w:b/>
          <w:color w:val="1F4D78"/>
          <w:sz w:val="23"/>
        </w:rPr>
        <w:t>BPDF-DNV-047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선박평형수처리장치(BWMS)의 생물학적 효능 및 독성 시험은 어떤 시설에서 수행되어야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생물학적 효능 시험 및 독성 시험은 선급(Society)이 승인한 시험 시설에서 수행되어야 합니다.</w:t>
      </w:r>
    </w:p>
    <w:p>
      <w:pPr>
        <w:pStyle w:val="FieldBody"/>
        <w:ind w:left="202" w:right="86"/>
        <w:shd w:fill="E8EEF5"/>
        <w:pBdr>
          <w:left w:val="single" w:sz="14" w:space="8" w:color="2E74B5"/>
        </w:pBdr>
      </w:pPr>
      <w:r>
        <w:rPr>
          <w:rFonts w:ascii="Calibri" w:hAnsi="Calibri" w:eastAsia="Malgun Gothic"/>
          <w:b w:val="0"/>
          <w:sz w:val="21"/>
        </w:rPr>
        <w:t>환경 시험은 DNV-CP-0643에 따라 선급이 승인한 시험 시설에서 수행되어야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선박평형수처리장치(BWMS)의 주요 구성 요소 또는 구조와 관련된 개조 시 수행되는 화학 분석 및 독성 시험은 IMO G9 방법론에 따라 수행되어야 한다. [1]</w:t>
      </w:r>
    </w:p>
    <w:p>
      <w:pPr>
        <w:pStyle w:val="AnswerBody"/>
        <w:shd w:fill="F4F6F9"/>
        <w:numPr>
          <w:ilvl w:val="0"/>
          <w:numId w:val="10"/>
        </w:numPr>
      </w:pPr>
      <w:r>
        <w:rPr>
          <w:rFonts w:ascii="Calibri" w:hAnsi="Calibri" w:eastAsia="Malgun Gothic"/>
          <w:b w:val="0"/>
          <w:sz w:val="19"/>
        </w:rPr>
        <w:t>모든 관련 시험은 인정기구(독립 실험실 및/또는 선급)의 품질 보증 및 품질 관리(QA/QC) 체계 하에 있는 형식승인 시험기관에서 수행된다.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84-INF.30 - Information on the testing scope and assessment of major modifications to ballast water ma... (Republic of Korea).pdf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질문의 핵심인 '선급 승인 시설'에 대한 정보를 제공하지 못하고, 인용된 문서(MEPC 84-INF.30)를 기반으로 한 관련 없는 내용(개조 시 화학 분석 등)을 기술함.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DNV-CP-0209.pdf · p.11</w:t>
      </w:r>
    </w:p>
    <w:p>
      <w:pPr>
        <w:pStyle w:val="ItemHeading"/>
        <w:shd w:fill="E9F5EE"/>
        <w:pBdr>
          <w:left w:val="single" w:sz="18" w:space="8" w:color="246B46"/>
        </w:pBdr>
      </w:pPr>
      <w:r>
        <w:rPr>
          <w:rFonts w:ascii="Calibri" w:hAnsi="Calibri" w:eastAsia="Malgun Gothic"/>
          <w:b/>
          <w:color w:val="1F4D78"/>
          <w:sz w:val="23"/>
        </w:rPr>
        <w:t>BPDF-DNV-048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DNV-RU-SHIP-Pt2 문서에 따르면, 고망간 오스테나이트강(High manganese austenitic steels)의 경우 열처리 없이 허용되는 냉간 성형 비율은 얼마입니까?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고망간 오스테나이트강(Grade NV Mn400)은 냉간 성형 후 열처리해서는 안 됩니다.</w:t>
      </w:r>
    </w:p>
    <w:p>
      <w:pPr>
        <w:pStyle w:val="FieldBody"/>
        <w:ind w:left="202" w:right="86"/>
        <w:shd w:fill="E8EEF5"/>
        <w:pBdr>
          <w:left w:val="single" w:sz="14" w:space="8" w:color="2E74B5"/>
        </w:pBdr>
      </w:pPr>
      <w:r>
        <w:rPr>
          <w:rFonts w:ascii="Calibri" w:hAnsi="Calibri" w:eastAsia="Malgun Gothic"/>
          <w:b w:val="0"/>
          <w:sz w:val="21"/>
        </w:rPr>
        <w:t>암모니아를 포함하여 응력부식균열을 일으킬 수 있는 유체와 접촉하는 압력용기인 경우를 제외하고, 5% 이하의 냉간 성형 비율은 열처리 없이 허용됩니다.</w:t>
      </w:r>
    </w:p>
    <w:p>
      <w:pPr>
        <w:pStyle w:val="FieldBody"/>
        <w:ind w:left="202" w:right="86"/>
        <w:shd w:fill="E8EEF5"/>
        <w:pBdr>
          <w:left w:val="single" w:sz="14" w:space="8" w:color="2E74B5"/>
        </w:pBdr>
      </w:pPr>
      <w:r>
        <w:rPr>
          <w:rFonts w:ascii="Calibri" w:hAnsi="Calibri" w:eastAsia="Malgun Gothic"/>
          <w:b w:val="0"/>
          <w:sz w:val="21"/>
        </w:rPr>
        <w:t>냉간 성형 비율이 5%를 초과해서는 안 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고망간 오스테나이트강(High manganese austenitic steels)의 경우, 열처리 없이 허용되는 냉간 성형 비율은 $\epsilon \le 5\%$입니다 (단, 암모니아를 포함하여 서비스 중 응력 부식 균열을 일으킬 수 있는 유체와 함께 사용되는 압력 용기에는 해당되지 않음).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DNV-RU-SHIP-Pt2, 조항 5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고망간 오스테나이트강의 열처리 제외 조건(5%), 예외 사항(암모니아 등 응력부식균열 유체), 그리고 최대 허용치 제한을 골드 사실과 정확하게 일치하게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DNV-RU-SHIP-Pt2.pdf · p.154</w:t>
      </w:r>
    </w:p>
    <w:p>
      <w:pPr>
        <w:pStyle w:val="ItemHeading"/>
        <w:shd w:fill="FFF6DA"/>
        <w:pBdr>
          <w:left w:val="single" w:sz="18" w:space="8" w:color="7A5A00"/>
        </w:pBdr>
      </w:pPr>
      <w:r>
        <w:rPr>
          <w:rFonts w:ascii="Calibri" w:hAnsi="Calibri" w:eastAsia="Malgun Gothic"/>
          <w:b/>
          <w:color w:val="1F4D78"/>
          <w:sz w:val="23"/>
        </w:rPr>
        <w:t>BPDF-DNV-049</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DNV-CP-0406이 정한 열수축성 튜브 형식승인의 목적과 절차 범위는 무엇이며, 제품 설계요건 자체도 정하나요?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해당 CP는 열수축성 튜브의 형식승인(TA) 체계를 설명하는 것을 목적으로 한다.</w:t>
      </w:r>
    </w:p>
    <w:p>
      <w:pPr>
        <w:pStyle w:val="FieldBody"/>
        <w:ind w:left="202" w:right="86"/>
        <w:shd w:fill="E8EEF5"/>
        <w:pBdr>
          <w:left w:val="single" w:sz="14" w:space="8" w:color="2E74B5"/>
        </w:pBdr>
      </w:pPr>
      <w:r>
        <w:rPr>
          <w:rFonts w:ascii="Calibri" w:hAnsi="Calibri" w:eastAsia="Malgun Gothic"/>
          <w:b w:val="0"/>
          <w:sz w:val="21"/>
        </w:rPr>
        <w:t>이 프로그램은 문서화, 설계 및 형식시험에 관련된 절차와 요구사항을 기술하며, 제품 자체의 설계 요건을 설정하지는 않는다.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이 CP는 장비에 대한 TA 인증을 획득하기 위해 적용 가능한 설계 요구사항과 해당 요구사항에 대한 준수 여부를 문서화하는 방법을 기술한다. [1]</w:t>
      </w:r>
    </w:p>
    <w:p>
      <w:pPr>
        <w:pStyle w:val="AnswerBody"/>
        <w:shd w:fill="F4F6F9"/>
        <w:numPr>
          <w:ilvl w:val="0"/>
          <w:numId w:val="10"/>
        </w:numPr>
      </w:pPr>
      <w:r>
        <w:rPr>
          <w:rFonts w:ascii="Calibri" w:hAnsi="Calibri" w:eastAsia="Malgun Gothic"/>
          <w:b w:val="0"/>
          <w:sz w:val="19"/>
        </w:rPr>
        <w:t>DNV-CP-0406의 목적은 열수축성 튜브(heat shrinkable tubing)에 대한 형식승인(TA) 체계를 기술하는 것이다.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장비의 TA 인증을 획득하기 위해 DNV-CP-0406에서 설명하는 문서화 및 준수 여부 기록 절차를 따라야 한다. [1]</w:t>
      </w:r>
    </w:p>
    <w:p>
      <w:pPr>
        <w:pStyle w:val="AnswerBody"/>
        <w:shd w:fill="F4F6F9"/>
        <w:numPr>
          <w:ilvl w:val="0"/>
          <w:numId w:val="10"/>
        </w:numPr>
      </w:pPr>
      <w:r>
        <w:rPr>
          <w:rFonts w:ascii="Calibri" w:hAnsi="Calibri" w:eastAsia="Malgun Gothic"/>
          <w:b w:val="0"/>
          <w:sz w:val="19"/>
        </w:rPr>
        <w:t>형식 시험 수행 시 해당 CP에 명시된 기술적 요구사항을 준수해야 한다. [1]</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 Pt.4 Ch.8 Electrical installations [2]</w:t>
      </w:r>
    </w:p>
    <w:p>
      <w:pPr>
        <w:pStyle w:val="AnswerBody"/>
        <w:shd w:fill="F4F6F9"/>
        <w:numPr>
          <w:ilvl w:val="0"/>
          <w:numId w:val="10"/>
        </w:numPr>
      </w:pPr>
      <w:r>
        <w:rPr>
          <w:rFonts w:ascii="Calibri" w:hAnsi="Calibri" w:eastAsia="Malgun Gothic"/>
          <w:b w:val="0"/>
          <w:sz w:val="19"/>
        </w:rPr>
        <w:t>DNV-OS-D201 Electrical installations [2]</w:t>
      </w:r>
    </w:p>
    <w:p>
      <w:pPr>
        <w:pStyle w:val="AnswerBody"/>
        <w:shd w:fill="F4F6F9"/>
        <w:numPr>
          <w:ilvl w:val="0"/>
          <w:numId w:val="10"/>
        </w:numPr>
      </w:pPr>
      <w:r>
        <w:rPr>
          <w:rFonts w:ascii="Calibri" w:hAnsi="Calibri" w:eastAsia="Malgun Gothic"/>
          <w:b w:val="0"/>
          <w:sz w:val="19"/>
        </w:rPr>
        <w:t>DNV-CG-0339 Environmental test specification for electrical, electronic and programmable equipment and systems [2]</w:t>
      </w:r>
    </w:p>
    <w:p>
      <w:pPr>
        <w:pStyle w:val="AnswerBody"/>
        <w:shd w:fill="F4F6F9"/>
        <w:numPr>
          <w:ilvl w:val="0"/>
          <w:numId w:val="10"/>
        </w:numPr>
      </w:pPr>
      <w:r>
        <w:rPr>
          <w:rFonts w:ascii="Calibri" w:hAnsi="Calibri" w:eastAsia="Malgun Gothic"/>
          <w:b w:val="0"/>
          <w:sz w:val="19"/>
        </w:rPr>
        <w:t>DNV-CP-0338 Type approval scheme [2]</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질문에서 요구한 '절차 범위'와 '제품 설계요건 설정 여부'에 대해 골드 사실과 일치하게 답변했으나, 질문의 핵심인 '설계 요건을 직접 정하지 않는다'는 명시적 부정 표현이 답변에서 누락되어 완성도가 다소 낮음.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DNV-CP-0406.pdf · p.5</w:t>
      </w:r>
    </w:p>
    <w:p>
      <w:pPr>
        <w:pStyle w:val="ItemHeading"/>
        <w:shd w:fill="FFF6DA"/>
        <w:pBdr>
          <w:left w:val="single" w:sz="18" w:space="8" w:color="7A5A00"/>
        </w:pBdr>
      </w:pPr>
      <w:r>
        <w:rPr>
          <w:rFonts w:ascii="Calibri" w:hAnsi="Calibri" w:eastAsia="Malgun Gothic"/>
          <w:b/>
          <w:color w:val="1F4D78"/>
          <w:sz w:val="23"/>
        </w:rPr>
        <w:t>BPDF-DNV-050</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DNV의 마모 저항성 코팅(abrasion resistant coatings)에 대한 기술 승인(TA) 시, 제품의 등급(Grade)과 변형(Variant)은 각각 어떻게 정의됩니까?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등급(Grades)은 하나의 기본 수지(base resin), 하나 이상의 코팅 층을 포함하는 전체 코팅 시스템, 그리고 각 강화 유형(섬유, 플레이크, 입자 등)에 따라 구분됩니다.</w:t>
      </w:r>
    </w:p>
    <w:p>
      <w:pPr>
        <w:pStyle w:val="FieldBody"/>
        <w:ind w:left="202" w:right="86"/>
        <w:shd w:fill="E8EEF5"/>
        <w:pBdr>
          <w:left w:val="single" w:sz="14" w:space="8" w:color="2E74B5"/>
        </w:pBdr>
      </w:pPr>
      <w:r>
        <w:rPr>
          <w:rFonts w:ascii="Calibri" w:hAnsi="Calibri" w:eastAsia="Malgun Gothic"/>
          <w:b w:val="0"/>
          <w:sz w:val="21"/>
        </w:rPr>
        <w:t>변형(Variants)은 색상 변형, 희석된 변형 및 이와 유사한 것들을 의미하며, 모든 변형은 동일한 등급의 요구사항을 충족해야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등급(Grade)은 하나의 기본 수지(base resin), 시스템 정의에 따른 하나 이상의 코팅층을 포함하는 전체 코팅 시스템, 그리고 각 유형의 보강재(섬유, 플레이크, 입자)를 의미한다.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DNV 기술 승인(TA) 인증서는 실제 제품 중 하나의 등급을 포함하며, 변형을 포함할 수 있는 가능성을 가진다. [2]</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DNV-CP-0293.pdf, [1][2]</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등급(Grade)에 대한 정의는 정확하게 기술하였으나, 질문에서 요구한 변형(Variant)의 구체적인 정의(색상, 희석 등)를 답변에서 생략하여 완성도가 낮음.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DNV-CP-0293.pdf · p.5</w:t>
      </w:r>
    </w:p>
    <w:p>
      <w:pPr>
        <w:pStyle w:val="ItemHeading"/>
        <w:shd w:fill="FDECEC"/>
        <w:pBdr>
          <w:left w:val="single" w:sz="18" w:space="8" w:color="9B1C1C"/>
        </w:pBdr>
      </w:pPr>
      <w:r>
        <w:rPr>
          <w:rFonts w:ascii="Calibri" w:hAnsi="Calibri" w:eastAsia="Malgun Gothic"/>
          <w:b/>
          <w:color w:val="1F4D78"/>
          <w:sz w:val="23"/>
        </w:rPr>
        <w:t>BPDF-DNV-051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RSCS+ 추가 선급 표기(notation)를 부여받은 선박의 경우, 횡방향 무차원 가속도 계수인 bq는 어떻게 조정됩니까?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RSCS+ 추가 선급 표기(notation)를 부여받은 선박의 경우, 횡방향 무차원 가속도 계수 bq는 경로 감소 계수(route reduction factor)인 froute에 의해 감소되어야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RSCS+ 추가 선급 표기(notation)를 부여받은 선박의 경우에 대한 횡방향 무차원 가속도 계수 $b_q$의 조정 방식은 검색 근거에서 확인되지 않음.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DNV-RU-SHIP-Pt6.pdf [1]</w:t>
      </w:r>
    </w:p>
    <w:p>
      <w:pPr>
        <w:pStyle w:val="AnswerBody"/>
        <w:shd w:fill="F4F6F9"/>
        <w:numPr>
          <w:ilvl w:val="0"/>
          <w:numId w:val="10"/>
        </w:numPr>
      </w:pPr>
      <w:r>
        <w:rPr>
          <w:rFonts w:ascii="Calibri" w:hAnsi="Calibri" w:eastAsia="Malgun Gothic"/>
          <w:b w:val="0"/>
          <w:sz w:val="19"/>
        </w:rPr>
        <w:t>DNV-RU-SHIP-Pt6.pdf [2]</w:t>
      </w:r>
    </w:p>
    <w:p>
      <w:pPr>
        <w:pStyle w:val="AnswerBody"/>
        <w:shd w:fill="F4F6F9"/>
        <w:numPr>
          <w:ilvl w:val="0"/>
          <w:numId w:val="10"/>
        </w:numPr>
      </w:pPr>
      <w:r>
        <w:rPr>
          <w:rFonts w:ascii="Calibri" w:hAnsi="Calibri" w:eastAsia="Malgun Gothic"/>
          <w:b w:val="0"/>
          <w:sz w:val="19"/>
        </w:rPr>
        <w:t>DNV-RU-SHIP-Pt6.pdf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'RSCS+ 선박의 경우 bq가 froute에 의해 감소되어야 한다'는 내용이 명확히 기재되어 있음에도 불구하고, 답변은 이를 확인되지 않는다고 잘못 기술함.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DNV-CG-0060.pdf · p.6</w:t>
      </w:r>
    </w:p>
    <w:p>
      <w:pPr>
        <w:pStyle w:val="ItemHeading"/>
        <w:shd w:fill="FDECEC"/>
        <w:pBdr>
          <w:left w:val="single" w:sz="18" w:space="8" w:color="9B1C1C"/>
        </w:pBdr>
      </w:pPr>
      <w:r>
        <w:rPr>
          <w:rFonts w:ascii="Calibri" w:hAnsi="Calibri" w:eastAsia="Malgun Gothic"/>
          <w:b/>
          <w:color w:val="1F4D78"/>
          <w:sz w:val="23"/>
        </w:rPr>
        <w:t>BPDF-DNV-052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DNV-CP-0638 문서에 따르면, IHM 유지관리 매뉴얼(maintenance manual)이 최소한 포함해야 하는 정보는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IHM 유지관리 매뉴얼은 예비 부품에 대한 MD 및/또는 SDOC 처리 정책, 필수 항목의 최소 범위, 수령 불가 시 정책, 변경 기록(change log), 다양한 버전의 데이터 저장 정보를 포함해야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IHM 유지관리 매뉴얼은 최소한 다음의 정보들을 포함해야 한다: 추가, 수정 및 삭제된 항목을 기록하기 위한 IHM 유지관리 변경 로그와 추적성 확보 방법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DNV-CP-0638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없음 · 답변이 '변경 로그' 항목만 언급하고 있으며, 골드 사실에 포함된 예비 부품 처리 정책, 필수 항목 범위, 수령 불가 시 정책, 데이터 저장 정보 등 핵심 요소의 대부분을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DNV-CP-0638.pdf · p.7, 8</w:t>
      </w:r>
    </w:p>
    <w:p>
      <w:pPr>
        <w:pStyle w:val="ItemHeading"/>
        <w:shd w:fill="E9F5EE"/>
        <w:pBdr>
          <w:left w:val="single" w:sz="18" w:space="8" w:color="246B46"/>
        </w:pBdr>
      </w:pPr>
      <w:r>
        <w:rPr>
          <w:rFonts w:ascii="Calibri" w:hAnsi="Calibri" w:eastAsia="Malgun Gothic"/>
          <w:b/>
          <w:color w:val="1F4D78"/>
          <w:sz w:val="23"/>
        </w:rPr>
        <w:t>BPDF-DNV-053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수직 지지대(vertical supports)를 모델링할 때, 인장 상태에 있는 연결 요소의 처리 방식은 어떻게 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수직 지지대의 연결 요소는 인장 상태일 때 분리되어야 하며(no contact), 모든 활성 지지대가 압축 상태가 될 때까지 반복 절차를 수행해야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반복 절차(iterative procedure)가 필요할 수 있으며, 인장 상태의 지지대를 분리하고 모든 활성 지지대가 압축 상태일 때까지 유한요소(FE) 모델을 재실행해야 합니다.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DNV-CG-0554.pdf, 조항 2.3 (Modelling of supports)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'인장 상태 시 분리(no contact)' 및 '모든 활성 지지대가 압축 상태가 될 때까지 반복'이라는 핵심 조건을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DNV-CG-0554.pdf · p.22</w:t>
      </w:r>
    </w:p>
    <w:p>
      <w:pPr>
        <w:pStyle w:val="ItemHeading"/>
        <w:shd w:fill="E9F5EE"/>
        <w:pBdr>
          <w:left w:val="single" w:sz="18" w:space="8" w:color="246B46"/>
        </w:pBdr>
      </w:pPr>
      <w:r>
        <w:rPr>
          <w:rFonts w:ascii="Calibri" w:hAnsi="Calibri" w:eastAsia="Malgun Gothic"/>
          <w:b/>
          <w:color w:val="1F4D78"/>
          <w:sz w:val="23"/>
        </w:rPr>
        <w:t>BPDF-DNV-054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DNV-CP-0409에 따라 저압 전력 케이블용 알루미늄 도체 터미널 러그의 타입 승인(TA)을 받을 수 있는 단면적 범위는 어떻게 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알루미늄 도체를 포함한 저압 전력 케이블 및 케이블 러그는 70, 95, 120, 150, 185, 240 또는 300 mm2의 단면적에 대해 타입 승인을 받을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DNV-CP-0409에 따라 알루미늄 도체를 포함하는 저압 전력 케이블용 터미널 러그는 70, 95, 120, 150, 185, 240 또는 300 mm²의 단면적 범위에 대해 타입 승인(TA)을 받을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DNV-CP-0409에 따른 TA 인증서는 규칙(rules)에서 명시된 요구사항과의 준수 여부를 확인하며, 다른 부분의 규칙 요건까지 포함하지는 않습니다. [1]</w:t>
      </w:r>
    </w:p>
    <w:p>
      <w:pPr>
        <w:pStyle w:val="AnswerBody"/>
        <w:shd w:fill="F4F6F9"/>
        <w:numPr>
          <w:ilvl w:val="0"/>
          <w:numId w:val="10"/>
        </w:numPr>
      </w:pPr>
      <w:r>
        <w:rPr>
          <w:rFonts w:ascii="Calibri" w:hAnsi="Calibri" w:eastAsia="Malgun Gothic"/>
          <w:b w:val="0"/>
          <w:sz w:val="19"/>
        </w:rPr>
        <w:t>만약 타 부문 규칙의 추가 요구사항이 TA 인증서로 충족되어야 하는 경우, 이는 TA 신청 시 명시되어야 하며 해당 내용이 TA 인증서에 기재됩니다. [1]</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DNV-CP-0409 [1]</w:t>
      </w:r>
    </w:p>
    <w:p>
      <w:pPr>
        <w:pStyle w:val="AnswerBody"/>
        <w:shd w:fill="F4F6F9"/>
        <w:numPr>
          <w:ilvl w:val="0"/>
          <w:numId w:val="10"/>
        </w:numPr>
      </w:pPr>
      <w:r>
        <w:rPr>
          <w:rFonts w:ascii="Calibri" w:hAnsi="Calibri" w:eastAsia="Malgun Gothic"/>
          <w:b w:val="0"/>
          <w:sz w:val="19"/>
        </w:rPr>
        <w:t>DNV-RU-SHIP Pt.4 Ch.8 [1]</w:t>
      </w:r>
    </w:p>
    <w:p>
      <w:pPr>
        <w:pStyle w:val="AnswerBody"/>
        <w:shd w:fill="F4F6F9"/>
        <w:numPr>
          <w:ilvl w:val="0"/>
          <w:numId w:val="10"/>
        </w:numPr>
      </w:pPr>
      <w:r>
        <w:rPr>
          <w:rFonts w:ascii="Calibri" w:hAnsi="Calibri" w:eastAsia="Malgun Gothic"/>
          <w:b w:val="0"/>
          <w:sz w:val="19"/>
        </w:rPr>
        <w:t>DNV-OS-D201 [2]</w:t>
      </w:r>
    </w:p>
    <w:p>
      <w:pPr>
        <w:pStyle w:val="AnswerBody"/>
        <w:shd w:fill="F4F6F9"/>
        <w:numPr>
          <w:ilvl w:val="0"/>
          <w:numId w:val="10"/>
        </w:numPr>
      </w:pPr>
      <w:r>
        <w:rPr>
          <w:rFonts w:ascii="Calibri" w:hAnsi="Calibri" w:eastAsia="Malgun Gothic"/>
          <w:b w:val="0"/>
          <w:sz w:val="19"/>
        </w:rPr>
        <w:t>DNV-CP-0338 (일반적인 타입 승인 제도 및 절차 관련)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질문에서 요구한 단면적 수치(70, 95, 120, 150, 185, 240, 300 mm2)를 정확하게 답변하였으며, 추가적인 정보도 골드 원문의 내용을 충실히 반영함.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DNV-CP-0409.pdf · p.5</w:t>
      </w:r>
    </w:p>
    <w:p>
      <w:pPr>
        <w:pStyle w:val="ItemHeading"/>
        <w:shd w:fill="E9F5EE"/>
        <w:pBdr>
          <w:left w:val="single" w:sz="18" w:space="8" w:color="246B46"/>
        </w:pBdr>
      </w:pPr>
      <w:r>
        <w:rPr>
          <w:rFonts w:ascii="Calibri" w:hAnsi="Calibri" w:eastAsia="Malgun Gothic"/>
          <w:b/>
          <w:color w:val="1F4D78"/>
          <w:sz w:val="23"/>
        </w:rPr>
        <w:t>BPDF-DNV-055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샌드위치 코어 재료의 형식 승인(TA)을 위해 제조사가 제출해야 하는 필수 문서 목록에는 어떤 항목들이 포함되는가?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제품 명칭 및 변형 목록, 승인 근거(관련 규칙 및 표준), 제품 설명(재료 유형, 셀 구조 등), 적용 분야 및 제한 사항, 제품 사양(TDS 및 MSDS 포함), 생산 공정 설명(SOP 포함), 품질 보증 시스템 또는 ISO 9001 인증서, 선박 설치용 품질 계획, 테스트 결과, 마킹/포장 정보, 관련 인증서 등이 포함된다, 시험·측정장비 목록(교정증명서 포함), 운항 중 경험(있는 경우)도 포함된다.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제조사는 초기 형식 승인(TA) 시 및 갱신 시 다음의 추가 문서들을 제출해야 하며, 가능한 범위 내에서 전자 파일로 제출해야 한다. [1]</w:t>
      </w:r>
    </w:p>
    <w:p>
      <w:pPr>
        <w:pStyle w:val="AnswerBody"/>
        <w:shd w:fill="F4F6F9"/>
        <w:numPr>
          <w:ilvl w:val="0"/>
          <w:numId w:val="10"/>
        </w:numPr>
      </w:pPr>
      <w:r>
        <w:rPr>
          <w:rFonts w:ascii="Calibri" w:hAnsi="Calibri" w:eastAsia="Malgun Gothic"/>
          <w:b w:val="0"/>
          <w:sz w:val="19"/>
        </w:rPr>
        <w:t>1) 유형 지정(즉, 제품명(등급)과 형식 승인 증명서에 포함되어 명시될 변형 목록), 2) 승인 근거(제품이 준수해야 하는 관련 규칙 및 표준에 대한 참조), 3) 제품 설명(재료 유형, 셀 구조 등)이 제출되어야 한다. [1]</w:t>
      </w:r>
    </w:p>
    <w:p>
      <w:pPr>
        <w:pStyle w:val="AnswerBody"/>
        <w:shd w:fill="F4F6F9"/>
        <w:numPr>
          <w:ilvl w:val="0"/>
          <w:numId w:val="10"/>
        </w:numPr>
      </w:pPr>
      <w:r>
        <w:rPr>
          <w:rFonts w:ascii="Calibri" w:hAnsi="Calibri" w:eastAsia="Malgun Gothic"/>
          <w:b w:val="0"/>
          <w:sz w:val="19"/>
        </w:rPr>
        <w:t>4) 제품의 적용 분야 및 특별 제한 사항(적용 절차 및 적층 전 필요한 표면 처리, 타 재료와의 호환성/비호환성 등), 5) 모든 변형에 대한 데이터 시트(TDS 및 MSDS)를 포함한 제품 사양, 6) 표준 운영 절차(SOP)를 포함한 생산 공정 설명이 제출되어야 한다. [1]</w:t>
      </w:r>
    </w:p>
    <w:p>
      <w:pPr>
        <w:pStyle w:val="AnswerBody"/>
        <w:shd w:fill="F4F6F9"/>
        <w:numPr>
          <w:ilvl w:val="0"/>
          <w:numId w:val="10"/>
        </w:numPr>
      </w:pPr>
      <w:r>
        <w:rPr>
          <w:rFonts w:ascii="Calibri" w:hAnsi="Calibri" w:eastAsia="Malgun Gothic"/>
          <w:b w:val="0"/>
          <w:sz w:val="19"/>
        </w:rPr>
        <w:t>7) 품질 보증 시스템에 대한 설명 또는 ISO 9001 인증서 사본, 8) 선박에 설치될 재료를 위한 품질 계획, 9) 표준, 방법 등에 대한 참조가 포함된 시험 결과(이미 수행된 시험)가 제출되어야 한다. [1]</w:t>
      </w:r>
    </w:p>
    <w:p>
      <w:pPr>
        <w:pStyle w:val="AnswerBody"/>
        <w:shd w:fill="F4F6F9"/>
        <w:numPr>
          <w:ilvl w:val="0"/>
          <w:numId w:val="10"/>
        </w:numPr>
      </w:pPr>
      <w:r>
        <w:rPr>
          <w:rFonts w:ascii="Calibri" w:hAnsi="Calibri" w:eastAsia="Malgun Gothic"/>
          <w:b w:val="0"/>
          <w:sz w:val="19"/>
        </w:rPr>
        <w:t>10) 제품의 마킹 또는 포장에 관한 정보, 11) 발행 번호 및/또는 날짜를 포함하는 관련 인증서(예: 품질 관리 시스템 인증서), 12) 교정 증명서를 포함한 시험 및 측정 장비 목록, 13) 사용 경험(있는 경우)이 제출되어야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제조사는 자체 파일에 형식 승인 문서의 사본을 1부 보관해야 하며, 해당 문서는 TA 신청자의 사업장 내에서 선급 검사관이 쉽게 이용할 수 있어야 한다. [1]</w:t>
      </w:r>
    </w:p>
    <w:p>
      <w:pPr>
        <w:pStyle w:val="AnswerBody"/>
        <w:shd w:fill="F4F6F9"/>
        <w:numPr>
          <w:ilvl w:val="0"/>
          <w:numId w:val="10"/>
        </w:numPr>
      </w:pPr>
      <w:r>
        <w:rPr>
          <w:rFonts w:ascii="Calibri" w:hAnsi="Calibri" w:eastAsia="Malgun Gothic"/>
          <w:b w:val="0"/>
          <w:sz w:val="19"/>
        </w:rPr>
        <w:t>종이 형식으로 제출될 경우, 통상적으로 2부의 문서를 선급에 제출해야 하며, 승인 신청 회사에 문서가 반환되지 않는다.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DNV-CP-0084.pdf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원문의 13가지 필수 문서 항목을 누락 없이 정확하게 번호와 내용을 매칭하여 기술하였으며, 질문에 대한 직접적인 답변을 제공함.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DNV-CP-0084.pdf · p.6</w:t>
      </w:r>
    </w:p>
    <w:p>
      <w:pPr>
        <w:pStyle w:val="ItemHeading"/>
        <w:shd w:fill="FDECEC"/>
        <w:pBdr>
          <w:left w:val="single" w:sz="18" w:space="8" w:color="9B1C1C"/>
        </w:pBdr>
      </w:pPr>
      <w:r>
        <w:rPr>
          <w:rFonts w:ascii="Calibri" w:hAnsi="Calibri" w:eastAsia="Malgun Gothic"/>
          <w:b/>
          <w:color w:val="1F4D78"/>
          <w:sz w:val="23"/>
        </w:rPr>
        <w:t>BPDF-DNV-056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와이어 인발용 바(bar)에 사용되는 강재의 결정립 크기 요건과 미세 결정립(fine grain)으로 인정받기 위한 알루미늄(Al), 니오븀(Nb), 바나듐(V) 등의 함량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와이어 인발용 강재의 오스테나이트 결정립 크기는 ASTM E112에 따라 5 이하(5 or finer)여야 한다.</w:t>
      </w:r>
    </w:p>
    <w:p>
      <w:pPr>
        <w:pStyle w:val="FieldBody"/>
        <w:ind w:left="202" w:right="86"/>
        <w:shd w:fill="E8EEF5"/>
        <w:pBdr>
          <w:left w:val="single" w:sz="14" w:space="8" w:color="2E74B5"/>
        </w:pBdr>
      </w:pPr>
      <w:r>
        <w:rPr>
          <w:rFonts w:ascii="Calibri" w:hAnsi="Calibri" w:eastAsia="Malgun Gothic"/>
          <w:b w:val="0"/>
          <w:sz w:val="21"/>
        </w:rPr>
        <w:t>알루미늄 단독 사용 시 최소 함량은 0.020% 이상이거나 Al 대 N 비율이 2:1 이상이어야 한다.</w:t>
      </w:r>
    </w:p>
    <w:p>
      <w:pPr>
        <w:pStyle w:val="FieldBody"/>
        <w:ind w:left="202" w:right="86"/>
        <w:shd w:fill="E8EEF5"/>
        <w:pBdr>
          <w:left w:val="single" w:sz="14" w:space="8" w:color="2E74B5"/>
        </w:pBdr>
      </w:pPr>
      <w:r>
        <w:rPr>
          <w:rFonts w:ascii="Calibri" w:hAnsi="Calibri" w:eastAsia="Malgun Gothic"/>
          <w:b w:val="0"/>
          <w:sz w:val="21"/>
        </w:rPr>
        <w:t>알루미늄과 니오븀 혼합 사용 시 알루미늄 최소 0.015%, 니오븀 최소 0.010%를 포함해야 하며, 알루미늄과 바나듐 혼합 사용 시 알루미늄 최소 0.015%, 바나듐 최소 0.030%를 포함해야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와이어 인발용 바(bar)에 사용되는 강재의 결정립 크기 요건과 미세 결정립(fine grain)을 인정받기 위한 알루미늄(Al), 니오븀(Nb), 바나듐(V) 등의 함량 조건은 검색 근거에서 확인되지 않음.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저인화점연료선박 규칙_2025.pdf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명확한 수치(결정립 크기 5 이하, Al/Nb/V 함량 조건)가 존재함에도 불구하고 '확인되지 않음'으로 답변하여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DNV-OS-E304.pdf · p.13, 14</w:t>
      </w:r>
    </w:p>
    <w:p>
      <w:pPr>
        <w:pStyle w:val="ItemHeading"/>
        <w:shd w:fill="FFF6DA"/>
        <w:pBdr>
          <w:left w:val="single" w:sz="18" w:space="8" w:color="7A5A00"/>
        </w:pBdr>
      </w:pPr>
      <w:r>
        <w:rPr>
          <w:rFonts w:ascii="Calibri" w:hAnsi="Calibri" w:eastAsia="Malgun Gothic"/>
          <w:b/>
          <w:color w:val="1F4D78"/>
          <w:sz w:val="23"/>
        </w:rPr>
        <w:t>BPDF-DNV-057</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DNV-RU-YACHT-Pt5의 서비스 문서 이용조건에 따르면 제3자의 인증·검증 서비스 제공 제한과 DNV의 책임 한도는 어떻게 규정되나요?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DNV의 사전 서면 동의 없이 이 문서를 기반으로 인증, 증명 또는 확인 서비스를 제공하거나 수행하는 것은 금지된다.</w:t>
      </w:r>
    </w:p>
    <w:p>
      <w:pPr>
        <w:pStyle w:val="FieldBody"/>
        <w:ind w:left="202" w:right="86"/>
        <w:shd w:fill="E8EEF5"/>
        <w:pBdr>
          <w:left w:val="single" w:sz="14" w:space="8" w:color="2E74B5"/>
        </w:pBdr>
      </w:pPr>
      <w:r>
        <w:rPr>
          <w:rFonts w:ascii="Calibri" w:hAnsi="Calibri" w:eastAsia="Malgun Gothic"/>
          <w:b w:val="0"/>
          <w:sz w:val="21"/>
        </w:rPr>
        <w:t>DNV는 타인이 이 문서를 사용함에 따라 발생하는 결과에 대해 책임을 지지 않는다.</w:t>
      </w:r>
    </w:p>
    <w:p>
      <w:pPr>
        <w:pStyle w:val="FieldBody"/>
        <w:ind w:left="202" w:right="86"/>
        <w:shd w:fill="E8EEF5"/>
        <w:pBdr>
          <w:left w:val="single" w:sz="14" w:space="8" w:color="2E74B5"/>
        </w:pBdr>
      </w:pPr>
      <w:r>
        <w:rPr>
          <w:rFonts w:ascii="Calibri" w:hAnsi="Calibri" w:eastAsia="Malgun Gothic"/>
          <w:b w:val="0"/>
          <w:sz w:val="21"/>
        </w:rPr>
        <w:t>계약이나 강행법에 따른 별도 규정이 없는 한, DNV의 책임은 직접 손실로 제한되며 어떠한 경우에도 300,000 USD를 초과할 수 없다.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DNV의 사전 서면 동의 없이는, DNV 또는 그 라이선스권자 이외의 누구도 이 문서(DNV-RU-YACHT-Pt5)를 근거로 하여 무료 또는 유료에 관계없이 인증서 및/또는 적합성 선언을 포함한 분류, 인증 및/또는 검증 서비스를 전부 또는 일부 제공하거나 수행하는 것이 금지됩니다.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제3자가 해당 문서를 기반으로 인증이나 검증 서비스를 제공할 경우 DNV의 사전 서면 동의를 확보해야 합니다. [1]</w:t>
      </w:r>
    </w:p>
    <w:p>
      <w:pPr>
        <w:pStyle w:val="AnswerBody"/>
        <w:shd w:fill="F4F6F9"/>
        <w:numPr>
          <w:ilvl w:val="0"/>
          <w:numId w:val="10"/>
        </w:numPr>
      </w:pPr>
      <w:r>
        <w:rPr>
          <w:rFonts w:ascii="Calibri" w:hAnsi="Calibri" w:eastAsia="Malgun Gothic"/>
          <w:b w:val="0"/>
          <w:sz w:val="19"/>
        </w:rPr>
        <w:t>사용자는 본 문서 활용에 따른 결과에 대해 스스로 책임을 지며, DNV는 이에 대한 책임이 없습니다.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DNV-RU-YACHT-Pt5 [1], [3]</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제3자 서비스 제한에 대한 내용은 정확히 기술하였으나, 질문에서 명시적으로 요구한 'DNV의 책임 한도(직접 손실 및 300,000 USD)'에 대한 핵심 수치와 조건이 답변에서 누락되었습니다.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DNV-RU-YACHT-Pt5.pdf · p.11, 12</w:t>
      </w:r>
    </w:p>
    <w:p>
      <w:pPr>
        <w:pStyle w:val="ItemHeading"/>
        <w:shd w:fill="FDECEC"/>
        <w:pBdr>
          <w:left w:val="single" w:sz="18" w:space="8" w:color="9B1C1C"/>
        </w:pBdr>
      </w:pPr>
      <w:r>
        <w:rPr>
          <w:rFonts w:ascii="Calibri" w:hAnsi="Calibri" w:eastAsia="Malgun Gothic"/>
          <w:b/>
          <w:color w:val="1F4D78"/>
          <w:sz w:val="23"/>
        </w:rPr>
        <w:t>BPDF-DNV-058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 규정에 따라 테스트 시설이 BWMS 시험 기간 동안 기록해야 하는 항목은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운영 또는 유지보수 중 발생한 문제(성능 편차, 비정상/예기치 않은 작동 관련 데이터 및 관찰 내용 포함), 시험 기간 동안 사용된 소모품 및 예비 부품, 적절한 교육을 받은 상태에서 올바르게 설치되고 안전하게 작동하는지 확인하는 시운전 과정을 기록해야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 근거에서 질문에 직접 답할 내용을 확인하지 못했습니다.</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DNV-CP-0209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질문에 대한 구체적인 내용을 전혀 제공하지 못하고 '내용을 확인하지 못했다'고 답변하였으며, 인용한 문서(DNV-CP-0209) 또한 골드 문서와 일치하지 않습니다.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DNV-CP-0644.pdf · p.10, 11</w:t>
      </w:r>
    </w:p>
    <w:p>
      <w:pPr>
        <w:pStyle w:val="ItemHeading"/>
        <w:shd w:fill="FDECEC"/>
        <w:pBdr>
          <w:left w:val="single" w:sz="18" w:space="8" w:color="9B1C1C"/>
        </w:pBdr>
      </w:pPr>
      <w:r>
        <w:rPr>
          <w:rFonts w:ascii="Calibri" w:hAnsi="Calibri" w:eastAsia="Malgun Gothic"/>
          <w:b/>
          <w:color w:val="1F4D78"/>
          <w:sz w:val="23"/>
        </w:rPr>
        <w:t>BPDF-DNV-059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동적 시험 시 강성(K)과 상대 감쇠(ψ)를 평가할 때 고려해야 하는 변수들은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강성과 상대 감쇠는 주파수(f), 평균 하중(Fm), 진동 하중(FV), 온도(θ)(선택사항), 영구 변형의 함수로 평가되어야 한다.</w:t>
      </w:r>
    </w:p>
    <w:p>
      <w:pPr>
        <w:pStyle w:val="FieldBody"/>
        <w:ind w:left="202" w:right="86"/>
        <w:shd w:fill="E8EEF5"/>
        <w:pBdr>
          <w:left w:val="single" w:sz="14" w:space="8" w:color="2E74B5"/>
        </w:pBdr>
      </w:pPr>
      <w:r>
        <w:rPr>
          <w:rFonts w:ascii="Calibri" w:hAnsi="Calibri" w:eastAsia="Malgun Gothic"/>
          <w:b w:val="0"/>
          <w:sz w:val="21"/>
        </w:rPr>
        <w:t>유사한 설계의 다양한 요소 크기에 대해서는 허용 요소 하중과 연관 지어 무차원 그래프로 나타낼 수 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검색 결과가 없다고 응답했으나, 골드 원문(6.2.4)에 질문에 대한 명확한 근거가 포함되어 있어 정보 추출에 실패함.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DNV-CP-0144.pdf · p.7, 8</w:t>
      </w:r>
    </w:p>
    <w:p>
      <w:pPr>
        <w:pStyle w:val="ItemHeading"/>
        <w:shd w:fill="E9F5EE"/>
        <w:pBdr>
          <w:left w:val="single" w:sz="18" w:space="8" w:color="246B46"/>
        </w:pBdr>
      </w:pPr>
      <w:r>
        <w:rPr>
          <w:rFonts w:ascii="Calibri" w:hAnsi="Calibri" w:eastAsia="Malgun Gothic"/>
          <w:b/>
          <w:color w:val="1F4D78"/>
          <w:sz w:val="23"/>
        </w:rPr>
        <w:t>BPDF-DNV-060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DNV-CP-0405의 케이블용 화재 보호 시스템 형식승인 절차가 적용되지 않는 별도 인증은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해당 클래스 프로그램은 EU 해양 장비 지침(MED) 인증을 획득하는 데에는 적용되지 않습니다.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DNV-CP-0405의 형식승인(TA) 절차는 EU Marine Equipment Directive (MED) 인증을 획득하기 위한 용도로는 적용되지 않습니다.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프로그램은 MED 인증을 위한 정보나 절차를 제공하지 않으므로, MED 인증이 필요한 경우 관련 정보를 위해 dnv.com 웹사이트를 방문해야 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DNV-CP-0405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'EU Marine Equipment Directive (MED) 인증'을 정확하게 추출하였으며, 관련 웹사이트 안내 등 부가 정보도 원문에 기반하여 적절히 포함함.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DNV-CP-0405.pdf · p.5</w:t>
      </w:r>
    </w:p>
    <w:p>
      <w:pPr>
        <w:pStyle w:val="Heading2"/>
      </w:pPr>
      <w:r>
        <w:t>MEPC · 40문항 (정답 19 / 실패 13 / 보류 8)</w:t>
      </w:r>
    </w:p>
    <w:p>
      <w:pPr>
        <w:pStyle w:val="ItemHeading"/>
        <w:shd w:fill="E9F5EE"/>
        <w:pBdr>
          <w:left w:val="single" w:sz="18" w:space="8" w:color="246B46"/>
        </w:pBdr>
      </w:pPr>
      <w:r>
        <w:rPr>
          <w:rFonts w:ascii="Calibri" w:hAnsi="Calibri" w:eastAsia="Malgun Gothic"/>
          <w:b/>
          <w:color w:val="1F4D78"/>
          <w:sz w:val="23"/>
        </w:rPr>
        <w:t>BPDF-MEPC-001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캘리포니아만(GoC) 내 LNG 운반선 통행 증가로 인해 발생할 수 있는 해양 환경 영향은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수중 방사 소음(URN), 고래 충돌 위험, 외래 수생 생종의 유입으로 인한 토착종과의 경쟁, 먹이그물 교란, 병원균 유입 및 서식지 변화 등의 영향이 발생할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캘리포니아만(GoC) 내 LNG 운반선 통행 증가는 수중 방사 소음(URN) 및 고래 충돌 위험과 같은 스트레스 요인을 유발하며, 외래 수생 생물은 토착종과의 경쟁, 먹이그물 교란, 병원체 유입, 서식지 변화를 초래할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LNG 운반선은 "단일 정차(single-stop)" 항해를 수행할 수 있으며, 이는 수출 터미널 도착 시 화물이 거의 없는 상태로 도착하여 안정성 유지를 위해 전체 배수량의 평형수(ballast)를 채우는 것을 의미합니다. [1]</w:t>
      </w:r>
    </w:p>
    <w:p>
      <w:pPr>
        <w:pStyle w:val="AnswerBody"/>
        <w:shd w:fill="F4F6F9"/>
        <w:numPr>
          <w:ilvl w:val="0"/>
          <w:numId w:val="10"/>
        </w:numPr>
      </w:pPr>
      <w:r>
        <w:rPr>
          <w:rFonts w:ascii="Calibri" w:hAnsi="Calibri" w:eastAsia="Malgun Gothic"/>
          <w:b w:val="0"/>
          <w:sz w:val="19"/>
        </w:rPr>
        <w:t>Saguaro LNG Phase 3 프로젝트의 경우, LNG 운반선이 매 항차마다 배출할 경우 연간 최대 3,000만 미터톤(300억 리터)의 평형수가 배출될 것으로 예상됩니다.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해양 환경 영향(URN, 고래 충돌, 외래종 유입 등)을 정확하게 포함하고 있으며, 추가적인 정보도 원문에 근거하여 적절히 기술함.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84-4-25 - Comments on the report of the forty-seventh meeting of the GESAMP-Ballast Water Working Gr... (CSC).pdf · p.1, 2</w:t>
      </w:r>
    </w:p>
    <w:p>
      <w:pPr>
        <w:pStyle w:val="ItemHeading"/>
        <w:shd w:fill="E9F5EE"/>
        <w:pBdr>
          <w:left w:val="single" w:sz="18" w:space="8" w:color="246B46"/>
        </w:pBdr>
      </w:pPr>
      <w:r>
        <w:rPr>
          <w:rFonts w:ascii="Calibri" w:hAnsi="Calibri" w:eastAsia="Malgun Gothic"/>
          <w:b/>
          <w:color w:val="1F4D78"/>
          <w:sz w:val="23"/>
        </w:rPr>
        <w:t>BPDF-MEPC-002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84/2/3 관련 문서에서 'to the satisfaction of the Administration' 조항의 이행 지침 개발을 위한 후속 일정은 어떻게 결정되었습니까?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해당 안건을 2028-2029년 기간 동안 제3소위원회(III Sub-Committee)의 격년 의제에 포함하기로 합의함</w:t>
      </w:r>
    </w:p>
    <w:p>
      <w:pPr>
        <w:pStyle w:val="FieldBody"/>
        <w:ind w:left="202" w:right="86"/>
        <w:shd w:fill="E8EEF5"/>
        <w:pBdr>
          <w:left w:val="single" w:sz="14" w:space="8" w:color="2E74B5"/>
        </w:pBdr>
      </w:pPr>
      <w:r>
        <w:rPr>
          <w:rFonts w:ascii="Calibri" w:hAnsi="Calibri" w:eastAsia="Malgun Gothic"/>
          <w:b w:val="0"/>
          <w:sz w:val="21"/>
        </w:rPr>
        <w:t>해당 과업을 완료하는 데 2회의 세션이 필요함을 확인함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'to the satisfaction of the Administration' 또는 그에 상응하는 조항의 이행을 다루는 지침 개발(Development of guidelines addressing the implementation of provisions left 'to the satisfaction of the Administration', or equivalent, in the relevant mandatory IMO instruments)은 위원회(Committee)의 후속 2년 단위 일정(post-biennial agenda)에 포함되었으며, 해당 결과물을 완료하기 위해 2회의 세션이 필요한 것으로 결정되었습니다.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84-2-3 - Outcome of MSC 110 (Secretariat).pdf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3/4 · 완전성 3/4 · 직접응답 예 · 모순 없음 · 근거 없는 구체 주장 없음 · 답변이 '2회의 세션 필요'와 '후속 일정 포함'이라는 핵심 사실을 정확히 기술했으나, 골드 사실에 명시된 구체적인 기간(2028-2029년) 및 특정 위원회(III Sub-Committee) 정보가 누락됨. 또한 인용 문서가 실제 답변과 다른 문서를 가리키고 있음.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84-2-7 - Comments on MEPC 8423 (Russian Federation).pdf · p.1</w:t>
      </w:r>
    </w:p>
    <w:p>
      <w:pPr>
        <w:pStyle w:val="ItemHeading"/>
        <w:shd w:fill="FDECEC"/>
        <w:pBdr>
          <w:left w:val="single" w:sz="18" w:space="8" w:color="9B1C1C"/>
        </w:pBdr>
      </w:pPr>
      <w:r>
        <w:rPr>
          <w:rFonts w:ascii="Calibri" w:hAnsi="Calibri" w:eastAsia="Malgun Gothic"/>
          <w:b/>
          <w:color w:val="1F4D78"/>
          <w:sz w:val="23"/>
        </w:rPr>
        <w:t>BPDF-MEPC-003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수중 방사 소음(URN) 저감 조치의 효과에 영향을 미치는 요인들에 대한 이해관계자의 관점은 어떻게 반영되어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해당 문서는 URN 저감 조치의 효과에 영향을 미칠 수 있는 다양한 조건과 고려사항을 식별한 최근 보고서의 결과를 제시하며, 이를 향후 규제 개발 맥락에서 EBP 하의 고려 사항으로 요약함.</w:t>
      </w:r>
    </w:p>
    <w:p>
      <w:pPr>
        <w:pStyle w:val="FieldBody"/>
        <w:ind w:left="202" w:right="86"/>
        <w:shd w:fill="E8EEF5"/>
        <w:pBdr>
          <w:left w:val="single" w:sz="14" w:space="8" w:color="2E74B5"/>
        </w:pBdr>
      </w:pPr>
      <w:r>
        <w:rPr>
          <w:rFonts w:ascii="Calibri" w:hAnsi="Calibri" w:eastAsia="Malgun Gothic"/>
          <w:b w:val="0"/>
          <w:sz w:val="21"/>
        </w:rPr>
        <w:t>본 문서는 모든 의견에 대한 완전한 합의를 의미하거나 명시적으로 언급되지 않은 관점을 배제하는 것으로 해석되어서는 안 되며, 참여한 이해관계자 그룹들 사이에서 다양한 견해가 나타남.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84-9 문서에 포함된 'IMO stakeholder perspectives and case studies on reducing underwater radiated noise (FOEI)' 보고서는 URN 저감 조치의 효과에 영향을 미칠 수 있는 다양한 조건과 고려사항을 식별하였으며, 이를 향후 규제 개발의 맥락에서 EBP(경험 구축 단계) 하에 검토하기 위한 개요를 제시한다.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URN 저감 조치의 효과에 영향을 미치는 요인들을 파악하기 위해 최근 보고서의 결과가 활용되며, 이는 향후 규제 개발 과정에서 고려될 예정이다. [1]</w:t>
      </w:r>
    </w:p>
    <w:p>
      <w:pPr>
        <w:pStyle w:val="AnswerBody"/>
        <w:shd w:fill="F4F6F9"/>
        <w:numPr>
          <w:ilvl w:val="0"/>
          <w:numId w:val="10"/>
        </w:numPr>
      </w:pPr>
      <w:r>
        <w:rPr>
          <w:rFonts w:ascii="Calibri" w:hAnsi="Calibri" w:eastAsia="Malgun Gothic"/>
          <w:b w:val="0"/>
          <w:sz w:val="19"/>
        </w:rPr>
        <w:t>이해관계자들은 URN 정책이 주로 영향력이 큰 행위자(주로 글로벌 노스 지역)의 우선순위를 반영하며, 해안 및 해운 의존도가 높은 지역들이 소외될 수 있음을 지적했다. [3]</w:t>
      </w:r>
    </w:p>
    <w:p>
      <w:pPr>
        <w:pStyle w:val="AnswerBody"/>
        <w:shd w:fill="F4F6F9"/>
        <w:numPr>
          <w:ilvl w:val="0"/>
          <w:numId w:val="10"/>
        </w:numPr>
      </w:pPr>
      <w:r>
        <w:rPr>
          <w:rFonts w:ascii="Calibri" w:hAnsi="Calibri" w:eastAsia="Malgun Gothic"/>
          <w:b w:val="0"/>
          <w:sz w:val="19"/>
        </w:rPr>
        <w:t>더 조용한 선박으로의 전환은 특히 개발도상국의 원격 지역 공동체에 상당한 경제적 영향을 미치며, 이들 지역이 새로운 URN 저감 설계 표준을 충족하지 못하는 선박을 계속 운항하게 됨으로써 경제적 부담이 전가될 위험이 있다. [3]</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2/4 · 직접응답 예 · 모순 있음 · 근거 없는 구체 주장 있음 · 답변의 '선박 운항/업무 영향' 섹션에서 언급된 글로벌 노스(Global North), 개발도상국 경제적 부담 등은 제공된 골드 원문에 전혀 포함되어 있지 않은 내용이며 외부 지식이나 다른 문서를 인용한 것으로 판단됨. 질문에 대한 핵심 답변인 '이해관계자의 관점 반영 방식'에 대해서는 원문의 내용을 일부 포함했으나, 근거 없는 구체적인 사례를 추가하여 신뢰성을 저해함.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84-9 - IMO stakeholder perspectives and case studies on reducing underwater radiated noise (FOEI).pdf · p.2</w:t>
      </w:r>
    </w:p>
    <w:p>
      <w:pPr>
        <w:pStyle w:val="ItemHeading"/>
        <w:shd w:fill="FDECEC"/>
        <w:pBdr>
          <w:left w:val="single" w:sz="18" w:space="8" w:color="9B1C1C"/>
        </w:pBdr>
      </w:pPr>
      <w:r>
        <w:rPr>
          <w:rFonts w:ascii="Calibri" w:hAnsi="Calibri" w:eastAsia="Malgun Gothic"/>
          <w:b/>
          <w:color w:val="1F4D78"/>
          <w:sz w:val="23"/>
        </w:rPr>
        <w:t>BPDF-MEPC-004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2026년에 발행될 예정인 해양 플라스틱 쓰레기 관련 자료에는 어떤 것들이 포함되어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2026년 출판 예정 자원에는 VGMFG에 관한 이러닝 코스, VGMFG·MARPOL Annex V·런던 협약/의정서 통합을 위한 지침 문서, 해양 플라스틱 쓰레기 과학적 측면에 관한 공동 전문가 그룹(Joint Group of Experts)의 두 번째 보고서가 포함됩니다.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84/8/6 문서에 따르면, 2026년 3월 6일에 발행될 예정인 자료는 'Follow-up work emanating from the Action Plan to address marine plastic litter from ships... (FAO)'입니다.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질문에서 요구한 '2026년에 발행될 구체적인 자료 목록(e-learning 코스, 지침 문서, 공동 전문가 그룹 보고서 등)'을 전혀 언급하지 못하고, 단순히 해당 문헌의 제목만을 나열함. 또한 원문에 없는 '3월 6일'이라는 특정 날짜를 생성하여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84-8-6 - Follow-up work emanating from the Action Plan to address marine plastic litter from ships... (FAO).pdf · p.3</w:t>
      </w:r>
    </w:p>
    <w:p>
      <w:pPr>
        <w:pStyle w:val="ItemHeading"/>
        <w:shd w:fill="E9F5EE"/>
        <w:pBdr>
          <w:left w:val="single" w:sz="18" w:space="8" w:color="246B46"/>
        </w:pBdr>
      </w:pPr>
      <w:r>
        <w:rPr>
          <w:rFonts w:ascii="Calibri" w:hAnsi="Calibri" w:eastAsia="Malgun Gothic"/>
          <w:b/>
          <w:color w:val="1F4D78"/>
          <w:sz w:val="23"/>
        </w:rPr>
        <w:t>BPDF-MEPC-005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Prep Comm III는 언제 개최될 예정인가요?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Prep Comm III는 2026년 3월 23일부터 4월 2일까지 소집될 예정이다.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Prep Comm III는 2026년 3월 23일부터 4월 2일까지 개최될 예정입니다. [1][2]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날짜(2026년 3월 23일~4월 2일)를 정확하게 포함하고 있으며 질문에 직접적으로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84-15-2 - Update on interagency cooperation relating to the protection of the marine environment (Secretariat).pdf · p.2</w:t>
      </w:r>
    </w:p>
    <w:p>
      <w:pPr>
        <w:pStyle w:val="ItemHeading"/>
        <w:shd w:fill="E9F5EE"/>
        <w:pBdr>
          <w:left w:val="single" w:sz="18" w:space="8" w:color="246B46"/>
        </w:pBdr>
      </w:pPr>
      <w:r>
        <w:rPr>
          <w:rFonts w:ascii="Calibri" w:hAnsi="Calibri" w:eastAsia="Malgun Gothic"/>
          <w:b/>
          <w:color w:val="1F4D78"/>
          <w:sz w:val="23"/>
        </w:rPr>
        <w:t>BPDF-MEPC-006</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홍콩 협약 및 바젤 협약의 이행과 관련하여 당사자 및 참관인이 의견을 제출해야 하는 마감일은 언제인가요?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2025년 11월 15일까지</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당사자 및 참관인은 홍콩 협약 및 바젤 협약의 이행과 관련하여, 임시 지침(provisional guidance) 및 기타 추가 의견을 2025년 11월 15일까지 사무국에 제출해야 합니다. [1], [4]</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사항이 없음 (검색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사항이 없음 (검색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'2025년 11월 15일'이라는 마감일을 정확하게 포함하고 있으며, 질문의 핵심 내용을 모두 충족함.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84-INF.7 - Outcome of the seventeenth meeting of the Conference of the Parties to the Basel Conventio... (Secretariat of the Basel...).pdf · p.1, 2</w:t>
      </w:r>
    </w:p>
    <w:p>
      <w:pPr>
        <w:pStyle w:val="ItemHeading"/>
        <w:shd w:fill="FFF6DA"/>
        <w:pBdr>
          <w:left w:val="single" w:sz="18" w:space="8" w:color="7A5A00"/>
        </w:pBdr>
      </w:pPr>
      <w:r>
        <w:rPr>
          <w:rFonts w:ascii="Calibri" w:hAnsi="Calibri" w:eastAsia="Malgun Gothic"/>
          <w:b/>
          <w:color w:val="1F4D78"/>
          <w:sz w:val="23"/>
        </w:rPr>
        <w:t>BPDF-MEPC-007</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4월 30일 메인 홀(Main Hall)에서 진행된 세션 중 'Uniting Efforts for a Quieter Ocean' 발표를 주최한 국가나 단체는 어디인가요?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Canada and Panama (Hosted by the High Ambition Coalition)</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'Uniting Efforts for a Quieter Ocean: Leadership Across Regions and Sectors' 세션은 High Ambition Coalition에 의해 주최되었습니다.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주최 단체(High Ambition Coalition)는 정확히 언급했으나, 골드 사실에 포함된 'Canada and Panama'라는 국가 정보를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84-J-4 - Presentations And Events During Mepc 84 (Secretariat).pdf · p.2</w:t>
      </w:r>
    </w:p>
    <w:p>
      <w:pPr>
        <w:pStyle w:val="ItemHeading"/>
        <w:shd w:fill="FFF6DA"/>
        <w:pBdr>
          <w:left w:val="single" w:sz="18" w:space="8" w:color="7A5A00"/>
        </w:pBdr>
      </w:pPr>
      <w:r>
        <w:rPr>
          <w:rFonts w:ascii="Calibri" w:hAnsi="Calibri" w:eastAsia="Malgun Gothic"/>
          <w:b/>
          <w:color w:val="1F4D78"/>
          <w:sz w:val="23"/>
        </w:rPr>
        <w:t>BPDF-MEPC-008</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화석 LNG(fossil LNG)의 기본 WtT 배출 계수를 설정할 때 고려해야 하는 기준과 접근 방식은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화석 LNG의 기본 WtT 배출 계수는 특정 지역이나 공급망에 치우치지 않고 전 세계적인 생산 및 무역 흐름의 다양성을 반영해야 하며, 보수적인 접근 방식이 필요하다.</w:t>
      </w:r>
    </w:p>
    <w:p>
      <w:pPr>
        <w:pStyle w:val="FieldBody"/>
        <w:ind w:left="202" w:right="86"/>
        <w:shd w:fill="E8EEF5"/>
        <w:pBdr>
          <w:left w:val="single" w:sz="14" w:space="8" w:color="2E74B5"/>
        </w:pBdr>
      </w:pPr>
      <w:r>
        <w:rPr>
          <w:rFonts w:ascii="Calibri" w:hAnsi="Calibri" w:eastAsia="Malgun Gothic"/>
          <w:b w:val="0"/>
          <w:sz w:val="21"/>
        </w:rPr>
        <w:t>화석 LNG의 기본 WtT 배출 계수는 FuelEU Maritime에서 적용되는 18.5 g/MJ와 같은 다른 주요 규제 프레임워크의 기준보다 실질적으로 낮아서는 안 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제한된 지리적 범위나 단일 공급망에서 도출된 값은 구조적 편향을 초래할 위험이 있으므로, 추가 검토가 이루어지기 전까지 보수적인 접근 방식을 취해야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'보수적 접근'과 '구조적 편향 방지'에 대해서는 정확히 언급했으나, 골드 사실의 핵심 요소인 '전 세계적인 생산 및 무역 흐름 반영'과 'FuelEU Maritime(18.5 g/MJ) 등 타 규제 프레임워크와의 비교 기준'을 누락하였습니다.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84-7-43 - Comments on the report of the third meeting of GESAMP-LCA Working Group (Pacific Environment and C...).pdf · p.3</w:t>
      </w:r>
    </w:p>
    <w:p>
      <w:pPr>
        <w:pStyle w:val="ItemHeading"/>
        <w:shd w:fill="E9F5EE"/>
        <w:pBdr>
          <w:left w:val="single" w:sz="18" w:space="8" w:color="246B46"/>
        </w:pBdr>
      </w:pPr>
      <w:r>
        <w:rPr>
          <w:rFonts w:ascii="Calibri" w:hAnsi="Calibri" w:eastAsia="Malgun Gothic"/>
          <w:b/>
          <w:color w:val="1F4D78"/>
          <w:sz w:val="23"/>
        </w:rPr>
        <w:t>BPDF-MEPC-009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84-7-23 문서에서 제안하는 LNG Otto(dual fuel medium speed) 에너지 변환기의 TtW Cslip 기본 배출 계수 개정은 어떤 연구 결과에 기반하고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ICCT, TNO, Explicit ApS가 수행한 'Fugitive and Unburned Methane Emissions from Ships (FUMES)' 보고서의 결과와 방법론에 기반함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84-7-23 문서에서 제안하는 LNG Otto (dual fuel medium speed) 에너지 변환기의 TtW Cslip 기본 배출 계수 개정은 "Fugitive and Unburned Methane Emissions from Ships (FUMES): Characterizing methane emissions from LNG-fueled ships using drones, helicopters, and on-board measurements" 연구 결과로부터 도출된 값과 방법론에 기반합니다.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84-7-23 - Tank-to-wake (TtW) proposed default emission factor for LNG Cslip from LNG Otto (dual fuel medium speed) energy converters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연구 보고서의 전체 명칭과 기반 기관들을 정확하게 포함하고 있으며 질문에 직접적으로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84-7-23 - Tank-to-wake (TtW) proposed default emission factor for LNG Cslip from LNG Otto (dual fuel... (Solomon Islands).pdf · p.1, 2</w:t>
      </w:r>
    </w:p>
    <w:p>
      <w:pPr>
        <w:pStyle w:val="ItemHeading"/>
        <w:shd w:fill="E9F5EE"/>
        <w:pBdr>
          <w:left w:val="single" w:sz="18" w:space="8" w:color="246B46"/>
        </w:pBdr>
      </w:pPr>
      <w:r>
        <w:rPr>
          <w:rFonts w:ascii="Calibri" w:hAnsi="Calibri" w:eastAsia="Malgun Gothic"/>
          <w:b/>
          <w:color w:val="1F4D78"/>
          <w:sz w:val="23"/>
        </w:rPr>
        <w:t>BPDF-MEPC-010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EVER TOP에서 하역된 CO2는 최종적으로 어떤 용도로 활용되었습니까?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건설용 콘크리트 생산을 위한 원료로 사용됨</w:t>
      </w:r>
    </w:p>
    <w:p>
      <w:pPr>
        <w:pStyle w:val="FieldBody"/>
        <w:ind w:left="202" w:right="86"/>
        <w:shd w:fill="E8EEF5"/>
        <w:pBdr>
          <w:left w:val="single" w:sz="14" w:space="8" w:color="2E74B5"/>
        </w:pBdr>
      </w:pPr>
      <w:r>
        <w:rPr>
          <w:rFonts w:ascii="Calibri" w:hAnsi="Calibri" w:eastAsia="Malgun Gothic"/>
          <w:b w:val="0"/>
          <w:sz w:val="21"/>
        </w:rPr>
        <w:t>Zhoushan City, Zhejiang Province에 있는 Baorong Corporation으로 운송되어 처리됨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EVER TOP에서 하역된 CO2는 Dejin 26으로 옮겨진 후 저우산시(Zhoushan City)에 위치한 항구로 운송되었으며, 탱크 트럭으로 하역되어 Baorong Corporation으로 운송되어 건설용 콘크리트 제조를 위한 원료로 활용되었습니다.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모든 핵심 요소(Zhoushan City, Baorong Corporation, 건설용 콘크리트 원료)를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84-INF.8 - A case of capture, transportation, storage and mineralization for onboard CO₂ capture (China).pdf · p.5</w:t>
      </w:r>
    </w:p>
    <w:p>
      <w:pPr>
        <w:pStyle w:val="ItemHeading"/>
        <w:shd w:fill="E9F5EE"/>
        <w:pBdr>
          <w:left w:val="single" w:sz="18" w:space="8" w:color="246B46"/>
        </w:pBdr>
      </w:pPr>
      <w:r>
        <w:rPr>
          <w:rFonts w:ascii="Calibri" w:hAnsi="Calibri" w:eastAsia="Malgun Gothic"/>
          <w:b/>
          <w:color w:val="1F4D78"/>
          <w:sz w:val="23"/>
        </w:rPr>
        <w:t>BPDF-MEPC-011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84/3 문서에 포함된 MARPOL 부속서 VI의 북동 대서양 배출통제구역(North-East Atlantic ECA) 관련 개정안은 어떤 회의에서 승인되었습니까?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MEPC 83에서 해당 개정안을 승인하였습니다.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MARPOL 부속서 VI의 북동 대서양(North-East Atlantic)을 SOx, PM 및 NOx를 위한 새로운 배출통제구역(ECA)으로 지정하는 개정안은 MEPC 83에서 승인되었습니다.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84-3 - Amendments to MARPOL Annex VI (Secretariat).pdf [1]</w:t>
      </w:r>
    </w:p>
    <w:p>
      <w:pPr>
        <w:pStyle w:val="AnswerBody"/>
        <w:shd w:fill="F4F6F9"/>
        <w:numPr>
          <w:ilvl w:val="0"/>
          <w:numId w:val="10"/>
        </w:numPr>
      </w:pPr>
      <w:r>
        <w:rPr>
          <w:rFonts w:ascii="Calibri" w:hAnsi="Calibri" w:eastAsia="Malgun Gothic"/>
          <w:b w:val="0"/>
          <w:sz w:val="19"/>
        </w:rPr>
        <w:t>MEPC 84-3 - Amendments to MARPOL Annex VI (Secretariat).pdf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사실(MEPC 83에서 승인)과 정확히 일치하며, 질문에 대한 핵심 내용을 모두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84-3-2 - Comments on document MEPC 843 (Norway).pdf · p.1</w:t>
      </w:r>
    </w:p>
    <w:p>
      <w:pPr>
        <w:pStyle w:val="ItemHeading"/>
        <w:shd w:fill="FDECEC"/>
        <w:pBdr>
          <w:left w:val="single" w:sz="18" w:space="8" w:color="9B1C1C"/>
        </w:pBdr>
      </w:pPr>
      <w:r>
        <w:rPr>
          <w:rFonts w:ascii="Calibri" w:hAnsi="Calibri" w:eastAsia="Malgun Gothic"/>
          <w:b/>
          <w:color w:val="1F4D78"/>
          <w:sz w:val="23"/>
        </w:rPr>
        <w:t>BPDF-MEPC-012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INTERTANKO가 수집한 항구별 수질 관련 데이터베이스에는 어떤 구체적인 정보들이 포함되어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시스템 바이패스와 관련된 실질적 매개변수(처리율 저하, 가동/불가 수준 분류, 임계값 50%, 발생 트리거 등)가 포함됨</w:t>
      </w:r>
    </w:p>
    <w:p>
      <w:pPr>
        <w:pStyle w:val="FieldBody"/>
        <w:ind w:left="202" w:right="86"/>
        <w:shd w:fill="E8EEF5"/>
        <w:pBdr>
          <w:left w:val="single" w:sz="14" w:space="8" w:color="2E74B5"/>
        </w:pBdr>
      </w:pPr>
      <w:r>
        <w:rPr>
          <w:rFonts w:ascii="Calibri" w:hAnsi="Calibri" w:eastAsia="Malgun Gothic"/>
          <w:b w:val="0"/>
          <w:sz w:val="21"/>
        </w:rPr>
        <w:t>사용된 BWMS 처리 유형 및 후속 조치, 수신 항구국 및 기국 당국과의 통신 내용이 포함됨</w:t>
      </w:r>
    </w:p>
    <w:p>
      <w:pPr>
        <w:pStyle w:val="FieldBody"/>
        <w:ind w:left="202" w:right="86"/>
        <w:shd w:fill="E8EEF5"/>
        <w:pBdr>
          <w:left w:val="single" w:sz="14" w:space="8" w:color="2E74B5"/>
        </w:pBdr>
      </w:pPr>
      <w:r>
        <w:rPr>
          <w:rFonts w:ascii="Calibri" w:hAnsi="Calibri" w:eastAsia="Malgun Gothic"/>
          <w:b w:val="0"/>
          <w:sz w:val="21"/>
        </w:rPr>
        <w:t>염도(기술적/수치적), 수온, 수질 상태 및 탁도의 시각적 분석 데이터가 수집됨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INTERTANKO가 수집한 항구별 수질 관련 데이터베이스는 지역적 추세(regional trends)를 제공하며, 전 세계적으로 지속되는 평형수 관리 시스템(ballast water management systems)의 문제점을 보여줍니다.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데이터베이스에 포함된 구체적인 정보(시스템 바이패스 매개변수, 처리 유형, 수질 지표 등)를 묻고 있으나, 답변은 일반적인 지역적 추세만을 언급할 뿐 질문의 핵심 내용을 전혀 포함하지 않음.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84-INF.32 - Database on the experience of ships in ports with challenging water quality (INTERTANKO).pdf · p.2</w:t>
      </w:r>
    </w:p>
    <w:p>
      <w:pPr>
        <w:pStyle w:val="ItemHeading"/>
        <w:shd w:fill="FDECEC"/>
        <w:pBdr>
          <w:left w:val="single" w:sz="18" w:space="8" w:color="9B1C1C"/>
        </w:pBdr>
      </w:pPr>
      <w:r>
        <w:rPr>
          <w:rFonts w:ascii="Calibri" w:hAnsi="Calibri" w:eastAsia="Malgun Gothic"/>
          <w:b/>
          <w:color w:val="1F4D78"/>
          <w:sz w:val="23"/>
        </w:rPr>
        <w:t>BPDF-MEPC-013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RenovaCalc에서 사탕수수 운송 과정의 배출량을 산정하고 재할당하기 위해 채택된 절차는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사탕수수 운송 배출량은 제3자 바가스(bagasse) 운송에 사용되는 배출 계수와 PECEGE(2024)에서 결정한 평균 운송 반경 17.4마일(26.85km)을 고려하여 추정됨</w:t>
      </w:r>
    </w:p>
    <w:p>
      <w:pPr>
        <w:pStyle w:val="FieldBody"/>
        <w:ind w:left="202" w:right="86"/>
        <w:shd w:fill="E8EEF5"/>
        <w:pBdr>
          <w:left w:val="single" w:sz="14" w:space="8" w:color="2E74B5"/>
        </w:pBdr>
      </w:pPr>
      <w:r>
        <w:rPr>
          <w:rFonts w:ascii="Calibri" w:hAnsi="Calibri" w:eastAsia="Malgun Gothic"/>
          <w:b w:val="0"/>
          <w:sz w:val="21"/>
        </w:rPr>
        <w:t>농업 인벤토리(table 4)에 보고된 디젤 소비량과 RenovaCalc가 할당한 배출 계수를 바탕으로 에탄올 생산 과정에서 화석 연료 사용과 관련된 총 배출량을 산출함</w:t>
      </w:r>
    </w:p>
    <w:p>
      <w:pPr>
        <w:pStyle w:val="FieldBody"/>
        <w:ind w:left="202" w:right="86"/>
        <w:shd w:fill="E8EEF5"/>
        <w:pBdr>
          <w:left w:val="single" w:sz="14" w:space="8" w:color="2E74B5"/>
        </w:pBdr>
      </w:pPr>
      <w:r>
        <w:rPr>
          <w:rFonts w:ascii="Calibri" w:hAnsi="Calibri" w:eastAsia="Malgun Gothic"/>
          <w:b w:val="0"/>
          <w:sz w:val="21"/>
        </w:rPr>
        <w:t>사탕수수 운송 관련 배출량의 비율은 위에서 계산된 두 값(1번 및 2번 항목) 사이의 비율로 결정됨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질문에 대한 정보를 전혀 제공하지 못하고 '근거를 찾지 못했다'고 답변하였으므로 모든 점수가 0점입니다.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84-7-6 - Well-to-tank and tank-to-wake proposed default GHG emission factors for sugarcane-based et... (Brazil).pdf · p.18</w:t>
      </w:r>
    </w:p>
    <w:p>
      <w:pPr>
        <w:pStyle w:val="ItemHeading"/>
        <w:shd w:fill="E9F5EE"/>
        <w:pBdr>
          <w:left w:val="single" w:sz="18" w:space="8" w:color="246B46"/>
        </w:pBdr>
      </w:pPr>
      <w:r>
        <w:rPr>
          <w:rFonts w:ascii="Calibri" w:hAnsi="Calibri" w:eastAsia="Malgun Gothic"/>
          <w:b/>
          <w:color w:val="1F4D78"/>
          <w:sz w:val="23"/>
        </w:rPr>
        <w:t>BPDF-MEPC-014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바이오 연료 혼합물(biofuel blends)의 탄소 전환계수(Cf)를 계산할 때 기존 MEPC.1/Circ.905 방식 대신 채택해야 하는 산출 원칙은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바이오 연료와 화석 연료의 혼합물에 대한 Cf는 질량 가중(mass-weighted) 방식을 사용하여 계산해야 합니다.</w:t>
      </w:r>
    </w:p>
    <w:p>
      <w:pPr>
        <w:pStyle w:val="FieldBody"/>
        <w:ind w:left="202" w:right="86"/>
        <w:shd w:fill="E8EEF5"/>
        <w:pBdr>
          <w:left w:val="single" w:sz="14" w:space="8" w:color="2E74B5"/>
        </w:pBdr>
      </w:pPr>
      <w:r>
        <w:rPr>
          <w:rFonts w:ascii="Calibri" w:hAnsi="Calibri" w:eastAsia="Malgun Gothic"/>
          <w:b w:val="0"/>
          <w:sz w:val="21"/>
        </w:rPr>
        <w:t>기존 MEPC.1/Circ.905의 에너지 가중(energy-weighted) 방식은 질량 보존 원칙과 일치하지 않으며 수학적 불일치를 초래할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바이오 연료 혼합물(biofuel blends)의 탄소 전환계수(Cf)를 결정할 때, 기존 MEPC.1/Circ.905의 에너지 가중 평균 방식(energy-weighted average method) 대신 질량 가중 평균 접근법(mass-weighted average approach)을 채택하는 개정안이 제안되었습니다.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제안서(Proposal)가 최종 채택되어 실제 규정으로 확정되었는지 여부 확인이 필요합니다. [1]</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원문의 핵심 내용인 '에너지 가중(energy-weighted)' 방식의 문제점과 이를 대체하는 '질량 가중(mass-weighted)' 방식을 정확하게 기술하고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84-6-11 - Proposal on refining fuel category references and carbon conversion factor (Cf) calculatio... (China).pdf · p.2</w:t>
      </w:r>
    </w:p>
    <w:p>
      <w:pPr>
        <w:pStyle w:val="ItemHeading"/>
        <w:shd w:fill="E9F5EE"/>
        <w:pBdr>
          <w:left w:val="single" w:sz="18" w:space="8" w:color="246B46"/>
        </w:pBdr>
      </w:pPr>
      <w:r>
        <w:rPr>
          <w:rFonts w:ascii="Calibri" w:hAnsi="Calibri" w:eastAsia="Malgun Gothic"/>
          <w:b/>
          <w:color w:val="1F4D78"/>
          <w:sz w:val="23"/>
        </w:rPr>
        <w:t>BPDF-MEPC-015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84-14-1 문서에 명시된 행정 요구사항(administrative requirement)의 정의는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행정 요구사항은 resolution A.1043(27)에 따라 정보나 데이터를 제공하거나 유지해야 하는 의무로 정의된다.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84-14-1 문서에서 "행정 요구사항(administrative requirement)"은 분석 목적을 위해 결의안 A.1043(27)에 따라 정보 또는 데이터를 제공하거나 유지해야 하는 의무 사항으로 정의된다.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결의안 A.1043(27) [1],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정의(결의안 A.1043(27)에 따른 정보/데이터 제공 및 유지 의무)를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84-14-1 - Proposal for a new output to address maritime autonomous surface ships (MASS) in the instr... (China).pdf · p.7</w:t>
      </w:r>
    </w:p>
    <w:p>
      <w:pPr>
        <w:pStyle w:val="ItemHeading"/>
        <w:shd w:fill="FFF6DA"/>
        <w:pBdr>
          <w:left w:val="single" w:sz="18" w:space="8" w:color="7A5A00"/>
        </w:pBdr>
      </w:pPr>
      <w:r>
        <w:rPr>
          <w:rFonts w:ascii="Calibri" w:hAnsi="Calibri" w:eastAsia="Malgun Gothic"/>
          <w:b/>
          <w:color w:val="1F4D78"/>
          <w:sz w:val="23"/>
        </w:rPr>
        <w:t>BPDF-MEPC-016</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IMO 선박 연료 소비 데이터베이스 관리 지침에서 권한을 부여받은 조직(RO)이 관련 데이터에 접근할 수 있도록 하기 위해 IACS가 제안한 수정 사항은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IACS는 해당 지침이 '당국(the Administration)'만을 언급하고 있는 현재 상황을 반영하여, 당국으로부터 권한을 부여받은 조직(RO)도 관련 데이터에 접근할 수 있음을 명시적으로 인정하도록 수정안을 제안함.</w:t>
      </w:r>
    </w:p>
    <w:p>
      <w:pPr>
        <w:pStyle w:val="FieldBody"/>
        <w:ind w:left="202" w:right="86"/>
        <w:shd w:fill="E8EEF5"/>
        <w:pBdr>
          <w:left w:val="single" w:sz="14" w:space="8" w:color="2E74B5"/>
        </w:pBdr>
      </w:pPr>
      <w:r>
        <w:rPr>
          <w:rFonts w:ascii="Calibri" w:hAnsi="Calibri" w:eastAsia="Malgun Gothic"/>
          <w:b w:val="0"/>
          <w:sz w:val="21"/>
        </w:rPr>
        <w:t>데이터 익명화와 관련하여, IMO 번호 및 선박의 당국 기(Administration flag) 또는 적절하게 권한을 부여받은 조직이 표시되지 않도록 수정안이 제안됨.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IACS는 현재 지침이 "Administration"만을 언급하고 있어, MARPOL Annex VI 규정 27.11의 초안과 일치하도록 권한을 부여받은 RO도 관련 데이터에 접근할 수 있음을 명시적으로 인정하는 방향으로 지침을 업데이트해야 한다고 제언함.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IACS의 제안 사항 중 'RO의 데이터 접근 권한 인정' 부분은 정확히 답변했으나, 골드 사실에 포함된 '데이터 익명화(IMO 번호 및 당국 기 등) 관련 수정안' 내용이 누락되어 완성도가 낮음.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84-6-7 - Amendments to the 2022 Guidelines for the development and management of the IMO Ship Fuel... (IACS).pdf · p.3</w:t>
      </w:r>
    </w:p>
    <w:p>
      <w:pPr>
        <w:pStyle w:val="ItemHeading"/>
        <w:shd w:fill="FDECEC"/>
        <w:pBdr>
          <w:left w:val="single" w:sz="18" w:space="8" w:color="9B1C1C"/>
        </w:pBdr>
      </w:pPr>
      <w:r>
        <w:rPr>
          <w:rFonts w:ascii="Calibri" w:hAnsi="Calibri" w:eastAsia="Malgun Gothic"/>
          <w:b/>
          <w:color w:val="1F4D78"/>
          <w:sz w:val="23"/>
        </w:rPr>
        <w:t>BPDF-MEPC-017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러시아 연방이 환경 보호를 위해 이미 활용하고 있는 MASS 기술은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러시아 연방은 환경 보호 주제를 다루기 위해 MASS 기술을 이미 사용 중이라고 발표함</w:t>
      </w:r>
    </w:p>
    <w:p>
      <w:pPr>
        <w:pStyle w:val="FieldBody"/>
        <w:ind w:left="202" w:right="86"/>
        <w:shd w:fill="E8EEF5"/>
        <w:pBdr>
          <w:left w:val="single" w:sz="14" w:space="8" w:color="2E74B5"/>
        </w:pBdr>
      </w:pPr>
      <w:r>
        <w:rPr>
          <w:rFonts w:ascii="Calibri" w:hAnsi="Calibri" w:eastAsia="Malgun Gothic"/>
          <w:b w:val="0"/>
          <w:sz w:val="21"/>
        </w:rPr>
        <w:t>KOPORYE호는 2025년 말 발트해 특별 구역에 추가된 신조 빌지 워터 제거선으로, MASS 기술이 적용됨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전혀 제공하지 못하고 '근거를 찾지 못했다'고 응답하였으므로 모든 점수가 0점입니다.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84-INF.39 - MASS technology implementation (Russian Federation).pdf · p.1</w:t>
      </w:r>
    </w:p>
    <w:p>
      <w:pPr>
        <w:pStyle w:val="ItemHeading"/>
        <w:shd w:fill="E9F5EE"/>
        <w:pBdr>
          <w:left w:val="single" w:sz="18" w:space="8" w:color="246B46"/>
        </w:pBdr>
      </w:pPr>
      <w:r>
        <w:rPr>
          <w:rFonts w:ascii="Calibri" w:hAnsi="Calibri" w:eastAsia="Malgun Gothic"/>
          <w:b/>
          <w:color w:val="1F4D78"/>
          <w:sz w:val="23"/>
        </w:rPr>
        <w:t>BPDF-MEPC-018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LNG_b_AD_gm 경로에서 사용된 3.5%의 메탄 슬립(methane slip) 수치는 현재 어떤 상태로 간주됩니까?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3.5%의 메탄 슬립 값은 LCA 계산에 사용될 수는 있으나, 위원회(Committee)에 의해 승인된 것으로 간주되어서는 안 됩니다.</w:t>
      </w:r>
    </w:p>
    <w:p>
      <w:pPr>
        <w:pStyle w:val="FieldBody"/>
        <w:ind w:left="202" w:right="86"/>
        <w:shd w:fill="E8EEF5"/>
        <w:pBdr>
          <w:left w:val="single" w:sz="14" w:space="8" w:color="2E74B5"/>
        </w:pBdr>
      </w:pPr>
      <w:r>
        <w:rPr>
          <w:rFonts w:ascii="Calibri" w:hAnsi="Calibri" w:eastAsia="Malgun Gothic"/>
          <w:b w:val="0"/>
          <w:sz w:val="21"/>
        </w:rPr>
        <w:t>메탄 기반 경로의 대표적이고 보수적인 TtW 기본 배출 계수를 결정하기 위해서는 메탄 슬립에 대한 추가적인 산업 및 문헌 증거가 필요합니다.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LNG_b_AD_gm 경로에서 사용된 3.5%의 메탄 슬립(methane slip) 수치는 제출용으로 사용되었으나, 위원회에 의해 승인된 것으로 간주되지 않습니다.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3/4 · 직접응답 예 · 모순 없음 · 근거 없는 구체 주장 없음 · 답변이 핵심 내용인 'LCA 계산에는 사용 가능하나 위원회 승인은 아님'을 정확히 기술함. 다만, 추가 증거 필요성 등 세부 맥락 중 일부가 생략되어 completeness에서 1점 감점.</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84-7-12 - Well-to-tank proposed default GHG emission factors for fossil LNG, liquefied biomethane an... (Denmark).pdf · p.11</w:t>
      </w:r>
    </w:p>
    <w:p>
      <w:pPr>
        <w:pStyle w:val="ItemHeading"/>
        <w:shd w:fill="FDECEC"/>
        <w:pBdr>
          <w:left w:val="single" w:sz="18" w:space="8" w:color="9B1C1C"/>
        </w:pBdr>
      </w:pPr>
      <w:r>
        <w:rPr>
          <w:rFonts w:ascii="Calibri" w:hAnsi="Calibri" w:eastAsia="Malgun Gothic"/>
          <w:b/>
          <w:color w:val="1F4D78"/>
          <w:sz w:val="23"/>
        </w:rPr>
        <w:t>BPDF-MEPC-019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MEPC.1/Circ.916에 따라 제출된 LNG 연료 경로의 well-to-tank(WtT) GHG 배출 계수 제안서에는 어떤 정보가 포함되어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해당 문서는 MEPC.1/Circ.916에 따른 방법론에 따라 제출된 LNG(메탄) 연료 경로의 well-to-tank(WtT) 제안 기본 GHG 배출 계수에 대한 비기밀 정보(non-confidential information)를 포함하고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MEPC.1/Circ.916에 따른 제출 절차 및 과학적 검토, 권고를 위한 비공개 정보가 아닌 정보를 포함하고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문서는 독립적이고 포괄적인 well-to-tank (WtT) 전과정 평가(LCA) 연구로부터 도출된 수치를 기반으로 합니다. [2]</w:t>
      </w:r>
    </w:p>
    <w:p>
      <w:pPr>
        <w:pStyle w:val="AnswerBody"/>
        <w:shd w:fill="F4F6F9"/>
        <w:numPr>
          <w:ilvl w:val="0"/>
          <w:numId w:val="10"/>
        </w:numPr>
      </w:pPr>
      <w:r>
        <w:rPr>
          <w:rFonts w:ascii="Calibri" w:hAnsi="Calibri" w:eastAsia="Malgun Gothic"/>
          <w:b w:val="0"/>
          <w:sz w:val="19"/>
        </w:rPr>
        <w:t>이 데이터는 현재 의뢰 중인 SGMF의 세 번째 LNG LCA 연구에 기여하며, 이는 독립적인 전문가 패널의 동료 검토를 거치게 됩니다.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2/4 · 직접응답 예 · 모순 없음 · 근거 없는 구체 주장 있음 · 답변의 '비공개 정보가 아닌 정보'라는 표현은 원문의 non-confidential을 번역한 것이나, 핵심 내용인 LNG 연료 경로(fuel pathway)에 대한 언급이 누락되었습니다. 특히 2번 항목의 SGMF 연구 및 전문가 패널 검토 내용은 제공된 골드 원문 어디에도 없는 근거 없는 정보입니다.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84-7-11 - Well-to-tank proposed default GHG emission factors for liquefied natural gas (methane) pat... (Norway and the Republic o...).pdf · p.1</w:t>
      </w:r>
    </w:p>
    <w:p>
      <w:pPr>
        <w:pStyle w:val="ItemHeading"/>
        <w:shd w:fill="FDECEC"/>
        <w:pBdr>
          <w:left w:val="single" w:sz="18" w:space="8" w:color="9B1C1C"/>
        </w:pBdr>
      </w:pPr>
      <w:r>
        <w:rPr>
          <w:rFonts w:ascii="Calibri" w:hAnsi="Calibri" w:eastAsia="Malgun Gothic"/>
          <w:b/>
          <w:color w:val="1F4D78"/>
          <w:sz w:val="23"/>
        </w:rPr>
        <w:t>BPDF-MEPC-020</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ICS CII 데이터 수집 시스템(ICS CII Data Collection System)에 제출된 데이터의 표본 크기는 어떠하며 그로 인한 정확도는 어떻게 평가됩니까?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ICS CII 데이터 수집 시스템으로의 데이터 제출은 자발적이며, 이로 인해 표본 크기가 상대적으로 작습니다.</w:t>
      </w:r>
    </w:p>
    <w:p>
      <w:pPr>
        <w:pStyle w:val="FieldBody"/>
        <w:ind w:left="202" w:right="86"/>
        <w:shd w:fill="E8EEF5"/>
        <w:pBdr>
          <w:left w:val="single" w:sz="14" w:space="8" w:color="2E74B5"/>
        </w:pBdr>
      </w:pPr>
      <w:r>
        <w:rPr>
          <w:rFonts w:ascii="Calibri" w:hAnsi="Calibri" w:eastAsia="Malgun Gothic"/>
          <w:b w:val="0"/>
          <w:sz w:val="21"/>
        </w:rPr>
        <w:t>표 1(table 1) 내의 등급 추세는 IMO 데이터가 포함된 표 2(table 2)보다 정확도가 낮게 간주되어야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ICS CII 데이터 수집 시스템(ICS CII Data Collection System)에 제출된 데이터의 표본 크기 및 그로 인한 정확도 평가에 관한 내용은 검색 근거에서 확인되지 않음.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표본 크기가 작고 정확도가 낮다는 내용이 명확히 존재함에도 불구하고, 답변에서 '확인되지 않음'이라고 기술하여 사실 관계를 완전히 잘못 파악함.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84-6-13 - ICS CII data collection - summary of 2024 results (ICS).pdf · p.2, 3</w:t>
      </w:r>
    </w:p>
    <w:p>
      <w:pPr>
        <w:pStyle w:val="ItemHeading"/>
        <w:shd w:fill="E9F5EE"/>
        <w:pBdr>
          <w:left w:val="single" w:sz="18" w:space="8" w:color="246B46"/>
        </w:pBdr>
      </w:pPr>
      <w:r>
        <w:rPr>
          <w:rFonts w:ascii="Calibri" w:hAnsi="Calibri" w:eastAsia="Malgun Gothic"/>
          <w:b/>
          <w:color w:val="1F4D78"/>
          <w:sz w:val="23"/>
        </w:rPr>
        <w:t>BPDF-MEPC-021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84-J-5 문서에서 관련 이슈들을 구조화된 방식으로 검토하기 위해 문서를 그룹화하는 목적은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문서의 그룹화는 각 의제 항목 및 작업반(working groups)에서 다양한 이슈를 구조적인 방식으로 검토하기 위해 수행됩니다.</w:t>
      </w:r>
    </w:p>
    <w:p>
      <w:pPr>
        <w:pStyle w:val="FieldBody"/>
        <w:ind w:left="202" w:right="86"/>
        <w:shd w:fill="E8EEF5"/>
        <w:pBdr>
          <w:left w:val="single" w:sz="14" w:space="8" w:color="2E74B5"/>
        </w:pBdr>
      </w:pPr>
      <w:r>
        <w:rPr>
          <w:rFonts w:ascii="Calibri" w:hAnsi="Calibri" w:eastAsia="Malgun Gothic"/>
          <w:b w:val="0"/>
          <w:sz w:val="21"/>
        </w:rPr>
        <w:t>이러한 그룹화가 위원회의 개별 이슈에 대한 고려 결과를 미리 결정하거나 방해해서는 안 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84-J-5 문서에서 문서를 그룹화하는 목적은 각 의제 항목(agenda item) 및 작업반(working groups) 하에서 서로 다른 이슈들을 구조화된 방식으로 검토하기 위함입니다.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84-J-5 - Grouping Of Documents Related To Air Pollution, Energy Efficiency And Ghg Reduction To Be... (Secretariat).pdf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3/4 · 직접응답 예 · 모순 없음 · 근거 없는 구체 주장 없음 · 답변이 골드 사실의 핵심 목적(구조적 검토)을 정확히 기술하였으나, 그룹화가 고려 결과를 미리 결정해서는 안 된다는 주의 사항(제2항 내용)이 누락되어 완벽한 완전성을 갖추지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84-J-5 - Grouping Of Documents Related To Air Pollution, Energy Efficiency And Ghg Reduction To Be... (Secretariat).pdf · p.1</w:t>
      </w:r>
    </w:p>
    <w:p>
      <w:pPr>
        <w:pStyle w:val="ItemHeading"/>
        <w:shd w:fill="FDECEC"/>
        <w:pBdr>
          <w:left w:val="single" w:sz="18" w:space="8" w:color="9B1C1C"/>
        </w:pBdr>
      </w:pPr>
      <w:r>
        <w:rPr>
          <w:rFonts w:ascii="Calibri" w:hAnsi="Calibri" w:eastAsia="Malgun Gothic"/>
          <w:b/>
          <w:color w:val="1F4D78"/>
          <w:sz w:val="23"/>
        </w:rPr>
        <w:t>BPDF-MEPC-022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84-INF.19 문서에 명시된 inTank BWTS의 살균제(biocide) 공급 방식은 어떻게 구분됩니까?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inTank BWTS는 전해염소법(EC)을 통해 선내에서 생성하거나, 벌크 화학 저장 탱크(BC)에 저장된 염화나트륨을 사용하여 두 가지 방식으로 살균제를 공급합니다.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inTank SuperFITT 모델의 설계 내에 살균제(biocide) 및 중화제 탱크가 포함되어 있으며, 이는 dosing module을 포함한 전체 BWTS 시스템이 단일 skid에 배치되는 구조로 구성됩니다.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84-INF.19 - Information on the amended type approval of the inTank BWTS ballast water management system (Norway).pdf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있음 · 질문은 살균제 공급 방식의 구분(EC 또는 BC)을 묻고 있으나, 답변은 시스템 구성(단일 skid 등)에 대해 설명하고 있어 질문과 무관하며 골드 사실을 전혀 반영하지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84-INF.19 - Information on the amended type approval of the inTank BWTSballast water management system (Norway).pdf · p.2, 3</w:t>
      </w:r>
    </w:p>
    <w:p>
      <w:pPr>
        <w:pStyle w:val="ItemHeading"/>
        <w:shd w:fill="E9F5EE"/>
        <w:pBdr>
          <w:left w:val="single" w:sz="18" w:space="8" w:color="246B46"/>
        </w:pBdr>
      </w:pPr>
      <w:r>
        <w:rPr>
          <w:rFonts w:ascii="Calibri" w:hAnsi="Calibri" w:eastAsia="Malgun Gothic"/>
          <w:b/>
          <w:color w:val="1F4D78"/>
          <w:sz w:val="23"/>
        </w:rPr>
        <w:t>BPDF-MEPC-023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84-8-1 문서에 따르면, 해상 기반의 플라스틱 폐기물 유입에 대한 글로벌 평가를 단일 연구로 수행하는 것이 가능한가요?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현재 단계에서 단일 연구로 해양 환경으로 유입되는 플라스틱 폐기물의 전 세계적 평가를 제공하는 것은 실현 불가능함.</w:t>
      </w:r>
    </w:p>
    <w:p>
      <w:pPr>
        <w:pStyle w:val="FieldBody"/>
        <w:ind w:left="202" w:right="86"/>
        <w:shd w:fill="E8EEF5"/>
        <w:pBdr>
          <w:left w:val="single" w:sz="14" w:space="8" w:color="2E74B5"/>
        </w:pBdr>
      </w:pPr>
      <w:r>
        <w:rPr>
          <w:rFonts w:ascii="Calibri" w:hAnsi="Calibri" w:eastAsia="Malgun Gothic"/>
          <w:b w:val="0"/>
          <w:sz w:val="21"/>
        </w:rPr>
        <w:t>데이터 수집을 위해 단계별 접근 방식을 채택하고 필요한 구성 요소를 점진적으로 구축할 것을 권고함.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84-8-1 문서에 따르면, 현재 단계에서 단일 연구로 해상 기반의 플라스틱 폐기물 유입에 대한 글로벌 평가를 제공하는 것은 가능하지 않다고 명시되어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84-8-1 - Information gathering survey on waste produced by ships during their normal operations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'단일 연구로 글로벌 평가가 불가능함'이라는 핵심 내용을 정확하게 반영하고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84-8-1 - Information gathering survey on waste produced by ships during their normal operations (Antigua and Barbuda, Aust...).pdf · p.1</w:t>
      </w:r>
    </w:p>
    <w:p>
      <w:pPr>
        <w:pStyle w:val="ItemHeading"/>
        <w:shd w:fill="FDECEC"/>
        <w:pBdr>
          <w:left w:val="single" w:sz="18" w:space="8" w:color="9B1C1C"/>
        </w:pBdr>
      </w:pPr>
      <w:r>
        <w:rPr>
          <w:rFonts w:ascii="Calibri" w:hAnsi="Calibri" w:eastAsia="Malgun Gothic"/>
          <w:b/>
          <w:color w:val="1F4D78"/>
          <w:sz w:val="23"/>
        </w:rPr>
        <w:t>BPDF-MEPC-024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2024년 보고 기간 동안 일부 선박이 CII 데이터를 보고하지 않은 구체적인 사유들은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기항국 변경으로 인한 보고 의무 이전, MARPOL 부속서 VI 제28조 범위 미해당, 내수 항해만 수행, 당국에 의한 면제, 2024년 중 등록 말소 등의 사유로 보고하지 않음</w:t>
      </w:r>
    </w:p>
    <w:p>
      <w:pPr>
        <w:pStyle w:val="FieldBody"/>
        <w:ind w:left="202" w:right="86"/>
        <w:shd w:fill="E8EEF5"/>
        <w:pBdr>
          <w:left w:val="single" w:sz="14" w:space="8" w:color="2E74B5"/>
        </w:pBdr>
      </w:pPr>
      <w:r>
        <w:rPr>
          <w:rFonts w:ascii="Calibri" w:hAnsi="Calibri" w:eastAsia="Malgun Gothic"/>
          <w:b w:val="0"/>
          <w:sz w:val="21"/>
        </w:rPr>
        <w:t>일부 선박은 이동 거리가 매우 짧거나 운영되지 않아 실질적으로 CII를 계산할 수 없었음</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전혀 제공하지 못하고 '근거를 찾지 못했다'고 응답하였으므로 모든 점수가 0점입니다.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84-6-1 - Report of fuel oil consumption data submitted to the IMO Ship Fuel Oil Consumption Databas... (Secretariat).pdf · p.21</w:t>
      </w:r>
    </w:p>
    <w:p>
      <w:pPr>
        <w:pStyle w:val="ItemHeading"/>
        <w:shd w:fill="E9F5EE"/>
        <w:pBdr>
          <w:left w:val="single" w:sz="18" w:space="8" w:color="246B46"/>
        </w:pBdr>
      </w:pPr>
      <w:r>
        <w:rPr>
          <w:rFonts w:ascii="Calibri" w:hAnsi="Calibri" w:eastAsia="Malgun Gothic"/>
          <w:b/>
          <w:color w:val="1F4D78"/>
          <w:sz w:val="23"/>
        </w:rPr>
        <w:t>BPDF-MEPC-025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기존 형식승인을 받은 평형수 관리 시스템(BWMS)의 주요 구성 요소가 포함된 수정 사항이 발생했을 때 당국은 어떻게 조치해야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평형수 관리 시스템(BWMS)의 주요 구성 요소(major component)가 포함된 수정 사항이 발생할 경우, 당국은 해당 수정된 시스템의 형식승인을 위해 필요한 시험을 결정해야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기존 형식승인을 받은 평형수 관리 시스템(BWMS)의 수정 사항이 주요 구성 요소(major component)를 포함하는 경우, 당국은 해당 수정된 시스템에 대한 형식승인에 필요한 시험을 결정해야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당국은 BWMS의 주요 구성 요소가 포함된 수정 사항이 발생했을 때, 해당 시스템의 형식승인을 위한 필수 시험 항목을 결정하는 조치를 취해야 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'당국은 해당 수정된 시스템의 형식승인을 위해 필요한 시험을 결정해야 한다'는 핵심 내용을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84-4-14 - Proposal for testing requirements for type approval of major modifications to ballast wate... (Republic of Korea).pdf · p.1, 2</w:t>
      </w:r>
    </w:p>
    <w:p>
      <w:pPr>
        <w:pStyle w:val="ItemHeading"/>
        <w:shd w:fill="FFF6DA"/>
        <w:pBdr>
          <w:left w:val="single" w:sz="18" w:space="8" w:color="7A5A00"/>
        </w:pBdr>
      </w:pPr>
      <w:r>
        <w:rPr>
          <w:rFonts w:ascii="Calibri" w:hAnsi="Calibri" w:eastAsia="Malgun Gothic"/>
          <w:b/>
          <w:color w:val="1F4D78"/>
          <w:sz w:val="23"/>
        </w:rPr>
        <w:t>BPDF-MEPC-026</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2024년에 기록된 대기 중 CO2 농도는 얼마이며 전 산업화 이전 수준과 비교했을 때 어느 정도 증가했습니까?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2024년 대기 중 CO2 농도는 423.9 ± 0.2 ppm으로 기록되었으며, 이는 전 산업화 이전 수준(~278 ppm)에 비해 52% 증가한 수치입니다.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이는 전 산업화 이전 수준인 약 278 ppm과 비교하여 52% 증가한 수치입니다.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'52% 증가'라는 수치는 정확히 포함하고 있으나, 질문의 핵심인 '2024년 대기 중 CO2 농도(423.9 ± 0.2 ppm)'에 대한 구체적인 수치 언급을 누락하였습니다.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84-7-25 - Status on climate change and the need for regular updatesto support decision-making at IMO (Norway).pdf · p.1, 2</w:t>
      </w:r>
    </w:p>
    <w:p>
      <w:pPr>
        <w:pStyle w:val="ItemHeading"/>
        <w:shd w:fill="FFF6DA"/>
        <w:pBdr>
          <w:left w:val="single" w:sz="18" w:space="8" w:color="7A5A00"/>
        </w:pBdr>
      </w:pPr>
      <w:r>
        <w:rPr>
          <w:rFonts w:ascii="Calibri" w:hAnsi="Calibri" w:eastAsia="Malgun Gothic"/>
          <w:b/>
          <w:color w:val="1F4D78"/>
          <w:sz w:val="23"/>
        </w:rPr>
        <w:t>BPDF-MEPC-027</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LNG 운반선의 초기 준수 결과가 상류(upstream) 가정치에 크게 영향을 받는 이유는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LNG 운반선은 연료 사용이나 운영 프로파일을 조정할 수 있는 범위가 제한적이기 때문에, 상류(upstream) 가정에 따른 영향이 뚜렷하게 나타납니다.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LNG 운반선의 초기 준수 결과가 상류(upstream) 가정치에 크게 영향을 받는 것은 성능 개선이 불가능해서가 아니라, 단기적인 준수 결과가 해당 가정을 강하게 반영하기 때문입니다.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LNG 운반선은 안전상의 이유로 자연적으로 발생하는 증발가스(BOG)를 지속적으로 관리해야 하며, 이는 다른 선박 유형과 근본적으로 차이가 나는 운영 특성입니다. [1]</w:t>
      </w:r>
    </w:p>
    <w:p>
      <w:pPr>
        <w:pStyle w:val="AnswerBody"/>
        <w:shd w:fill="F4F6F9"/>
        <w:numPr>
          <w:ilvl w:val="0"/>
          <w:numId w:val="10"/>
        </w:numPr>
      </w:pPr>
      <w:r>
        <w:rPr>
          <w:rFonts w:ascii="Calibri" w:hAnsi="Calibri" w:eastAsia="Malgun Gothic"/>
          <w:b w:val="0"/>
          <w:sz w:val="19"/>
        </w:rPr>
        <w:t>특히 전체 기존 선단의 상당 부분은 완전한 재액화 능력이 없기 때문에, BOG의 효율적인 활용을 주요 에너지원으로 의존합니다.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'운영 프로파일 조정 범위의 제한'이라는 핵심 원인을 생략하고 '성능 개선 불가능이 아님'을 강조하는 방식으로 답변함. 또한 BOG 관리 등 부차적인 운영 특성을 비중 있게 다룸.</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84-7-27 - Implementation implications of alternative well-to-tank emission factors forLNG carriers (INTERTANKO).pdf · p.6</w:t>
      </w:r>
    </w:p>
    <w:p>
      <w:pPr>
        <w:pStyle w:val="ItemHeading"/>
        <w:shd w:fill="FDECEC"/>
        <w:pBdr>
          <w:left w:val="single" w:sz="18" w:space="8" w:color="9B1C1C"/>
        </w:pBdr>
      </w:pPr>
      <w:r>
        <w:rPr>
          <w:rFonts w:ascii="Calibri" w:hAnsi="Calibri" w:eastAsia="Malgun Gothic"/>
          <w:b/>
          <w:color w:val="1F4D78"/>
          <w:sz w:val="23"/>
        </w:rPr>
        <w:t>BPDF-MEPC-028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크루즈 여객선(cruise passenger ships)을 위한 cgHRS 지표 개발은 어느 단계까지 진행되었으며 어떤 목표를 포함하고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MEPC 83에서 단기 온실가스 감축 조치 검토의 2단계(phase 2)에 대한 작업 계획을 승인하였으며, 여기에는 크루즈 여객선을 위한 cgHRS 지표 개발의 추가 고려 및 확정이 포함됩니다.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해당 문서는 2019년 보고 연도의 검증된, 익명화되지 않은 IMO DCS 데이터를 기반으로 크루즈 여객선용 제안된 cgHRS 지표에 대한 기준선(reference line) 및 등급 경계(rating boundaries) 계산 결과를 제공합니다.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cgHRS 지표 개발의 단계와 목표를 물었으나, 답변은 해당 내용에 대해 언급하지 않고 문서의 데이터 성격(DCS 기반 등)만 나열하여 질문과 무관한 내용을 출력함.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84-6-3 - Recalculation of CII reference line and rating boundaries for cruise passenger ships (Secretariat).pdf · p.1, 2</w:t>
      </w:r>
    </w:p>
    <w:p>
      <w:pPr>
        <w:pStyle w:val="ItemHeading"/>
        <w:shd w:fill="FDECEC"/>
        <w:pBdr>
          <w:left w:val="single" w:sz="18" w:space="8" w:color="9B1C1C"/>
        </w:pBdr>
      </w:pPr>
      <w:r>
        <w:rPr>
          <w:rFonts w:ascii="Calibri" w:hAnsi="Calibri" w:eastAsia="Malgun Gothic"/>
          <w:b/>
          <w:color w:val="1F4D78"/>
          <w:sz w:val="23"/>
        </w:rPr>
        <w:t>BPDF-MEPC-029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선박의 평형수 관리 시스템(ballast water management system)에 대한 갱신 검사(renewal survey)는 최대 몇 년의 간격으로 수행되어야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갱신 검사는 당국이 정하는 기간 내에 실시해야 하며, 5년을 초과해서는 안 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제공하지 못하고 검색 결과가 없다고 답변하였으나, 골드 원문에는 '5년을 초과해서는 안 된다'는 명확한 정보가 포함되어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84-4-2 - Report of the Correspondence Group on Review of the BWM Convention (Australia).pdf · p.73</w:t>
      </w:r>
    </w:p>
    <w:p>
      <w:pPr>
        <w:pStyle w:val="ItemHeading"/>
        <w:shd w:fill="FFF6DA"/>
        <w:pBdr>
          <w:left w:val="single" w:sz="18" w:space="8" w:color="7A5A00"/>
        </w:pBdr>
      </w:pPr>
      <w:r>
        <w:rPr>
          <w:rFonts w:ascii="Calibri" w:hAnsi="Calibri" w:eastAsia="Malgun Gothic"/>
          <w:b/>
          <w:color w:val="1F4D78"/>
          <w:sz w:val="23"/>
        </w:rPr>
        <w:t>BPDF-MEPC-030</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현재 Ballast Water Record Book(BWRB) 기록 시 최종 총량(final total quantity)을 산정하는 방식과 관련하여 어떤 문제점이 발생하고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최종 총량이 모든 평형수 탱크의 합산 부피를 의미하는지 또는 해당 이벤트가 발생한 특정 탱크의 잔량만을 의미하는지 명확하게 규정되지 않아 해석에 일관성이 없음.</w:t>
      </w:r>
    </w:p>
    <w:p>
      <w:pPr>
        <w:pStyle w:val="FieldBody"/>
        <w:ind w:left="202" w:right="86"/>
        <w:shd w:fill="E8EEF5"/>
        <w:pBdr>
          <w:left w:val="single" w:sz="14" w:space="8" w:color="2E74B5"/>
        </w:pBdr>
      </w:pPr>
      <w:r>
        <w:rPr>
          <w:rFonts w:ascii="Calibri" w:hAnsi="Calibri" w:eastAsia="Malgun Gothic"/>
          <w:b w:val="0"/>
          <w:sz w:val="21"/>
        </w:rPr>
        <w:t>국제적으로 합의된 표준이 없어 각 당국마다 서로 다른 해석을 제공하고 있으며, 이로 인해 선박마다 BWRB를 작성하는 방식에 차이가 발생함.</w:t>
      </w:r>
    </w:p>
    <w:p>
      <w:pPr>
        <w:pStyle w:val="FieldBody"/>
        <w:ind w:left="202" w:right="86"/>
        <w:shd w:fill="E8EEF5"/>
        <w:pBdr>
          <w:left w:val="single" w:sz="14" w:space="8" w:color="2E74B5"/>
        </w:pBdr>
      </w:pPr>
      <w:r>
        <w:rPr>
          <w:rFonts w:ascii="Calibri" w:hAnsi="Calibri" w:eastAsia="Malgun Gothic"/>
          <w:b w:val="0"/>
          <w:sz w:val="21"/>
        </w:rPr>
        <w:t>기록 방식의 모호성으로 인해 항만국 통제(PSC) 검사 시 혼란이 발생하고 있으며, 이는 행정적·운영적 부담을 초래하고 부정확한 평가의 위험을 높임.</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현재 기록 관행에서의 불일치, 항만국 통제(PSC) 검사 시 혼선, 그리고 기록 요구사항의 명확성 및 통일성 부족 등의 문제가 발생하고 있습니다.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제안서(MEPC 84/4/15)에 대한 INTERTANKO의 의견(MEPC 84/4/23)에서 제시된 '탱크별 세부 기록 방법'이 최종적으로 채택될지 여부를 확인해야 합니다. [3]</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'기록 방식의 모호성'과 'PSC 혼선' 등 핵심 문제를 언급하고 있으나, 골드 사실에 명시된 구체적인 원인(전체 탱크 합산 vs 특정 탱크 잔량의 불명확성)을 생략하여 정보가 일부 누락됨.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84-4-15 - Proposal for the clarification of the final total quantity (m³) recordedin the Ballast Wat... (Australia, Republic of Ko...).pdf · p.2</w:t>
      </w:r>
    </w:p>
    <w:p>
      <w:pPr>
        <w:pStyle w:val="ItemHeading"/>
        <w:shd w:fill="E9F5EE"/>
        <w:pBdr>
          <w:left w:val="single" w:sz="18" w:space="8" w:color="246B46"/>
        </w:pBdr>
      </w:pPr>
      <w:r>
        <w:rPr>
          <w:rFonts w:ascii="Calibri" w:hAnsi="Calibri" w:eastAsia="Malgun Gothic"/>
          <w:b/>
          <w:color w:val="1F4D78"/>
          <w:sz w:val="23"/>
        </w:rPr>
        <w:t>BPDF-MEPC-031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84-6-2 문서에 따르면, 2019년 대비 2024년 전체 선단의 공급 기반 탄소 집약도(supply-based carbon intensity)는 어느 정도 감소했습니까?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2019년 대비 2024년 전체 선단의 공급 기반 탄소 집약도는 최대 10.8% 감소했습니다.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MEPC 84-6-2 문서에 따르면, 전체 선단의 평균 공급 기반 탄소 집약도(supply-based carbon intensity)는 AER 및 cgDIST 지표에서 2019년 대비 2024년에 최대 10.8% 감소한 것으로 나타났으나, 매년 변동이 있음.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MEPC 84-6-2 - Report on annual carbon intensity and efficiency of the fleet (Reporting year 2024)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사실에 명시된 '최대 10.8% 감소' 수치와 조건을 정확하게 포함하고 있으며, 원문과 일치함.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84-6-2 - Report on annual carbon intensity and efficiency of the fleet (Reporting year 2024) (Secretariat).pdf · p.5</w:t>
      </w:r>
    </w:p>
    <w:p>
      <w:pPr>
        <w:pStyle w:val="ItemHeading"/>
        <w:shd w:fill="FDECEC"/>
        <w:pBdr>
          <w:left w:val="single" w:sz="18" w:space="8" w:color="9B1C1C"/>
        </w:pBdr>
      </w:pPr>
      <w:r>
        <w:rPr>
          <w:rFonts w:ascii="Calibri" w:hAnsi="Calibri" w:eastAsia="Malgun Gothic"/>
          <w:b/>
          <w:color w:val="1F4D78"/>
          <w:sz w:val="23"/>
        </w:rPr>
        <w:t>BPDF-MEPC-032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84-4-10 문서에 따르면, 대형 원양 항해 선박이 부적절한 항구 기반 처리 시설을 필수적인 비상 조치로 간주하지 않도록 하기 위해 제안된 수정 사항은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항구 기반 처리 또는 수용 시설이 인정되는 대안으로 유지되어야 하지만, 대량의 물을 합리적인 기간 내에 처리하기에 적합하지 않으므로 대형 원양 항해 선박에게 필수적인 비상 조치로 간주되어서는 안 된다.</w:t>
      </w:r>
    </w:p>
    <w:p>
      <w:pPr>
        <w:pStyle w:val="FieldBody"/>
        <w:ind w:left="202" w:right="86"/>
        <w:shd w:fill="E8EEF5"/>
        <w:pBdr>
          <w:left w:val="single" w:sz="14" w:space="8" w:color="2E74B5"/>
        </w:pBdr>
      </w:pPr>
      <w:r>
        <w:rPr>
          <w:rFonts w:ascii="Calibri" w:hAnsi="Calibri" w:eastAsia="Malgun Gothic"/>
          <w:b w:val="0"/>
          <w:sz w:val="21"/>
        </w:rPr>
        <w:t>불필요한 온실가스 배출과 운영상의 비효율성을 방지하기 위해 선박이 멀리 떨어진 평형수 교환(BWE) 지역으로 이동하도록 요구되어서는 안 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공동 후원자들은 특히 BWE 지역이 제한되거나 없는 지역에서 단거리 또는 지역 항해를 수행하는 선박들이 실질적인 비상 조치(practical contingency measures)를 식별하는 데 불균형적인 어려움을 겪고 있음을 보여주는 MEPC 82/4/9 및 MEPC 83/4/10 문서를 주목할 것을 요청했습니다.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BWM.2/Circ.62 [1]</w:t>
      </w:r>
    </w:p>
    <w:p>
      <w:pPr>
        <w:pStyle w:val="AnswerBody"/>
        <w:shd w:fill="F4F6F9"/>
        <w:numPr>
          <w:ilvl w:val="0"/>
          <w:numId w:val="10"/>
        </w:numPr>
      </w:pPr>
      <w:r>
        <w:rPr>
          <w:rFonts w:ascii="Calibri" w:hAnsi="Calibri" w:eastAsia="Malgun Gothic"/>
          <w:b w:val="0"/>
          <w:sz w:val="19"/>
        </w:rPr>
        <w:t>Resolution MEPC.387(81) (CWQ Guidance) [1]</w:t>
      </w:r>
    </w:p>
    <w:p>
      <w:pPr>
        <w:pStyle w:val="AnswerBody"/>
        <w:shd w:fill="F4F6F9"/>
        <w:numPr>
          <w:ilvl w:val="0"/>
          <w:numId w:val="10"/>
        </w:numPr>
      </w:pPr>
      <w:r>
        <w:rPr>
          <w:rFonts w:ascii="Calibri" w:hAnsi="Calibri" w:eastAsia="Malgun Gothic"/>
          <w:b w:val="0"/>
          <w:sz w:val="19"/>
        </w:rPr>
        <w:t>Resolution MEPC.153(55) (Guidelines G5)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'항구 기반 처리 시설이 비상 조치로 간주되지 않아야 하는 이유'에 대해 묻고 있으나, 답변은 해당 내용과 무관한 '단거리 항해 선박의 어려움 및 관련 문서 나열'만을 언급하고 있어 질문에 대한 답을 전혀 제공하지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84-4-10 - Clarification and targeted amendments to BWM.2Circ.62 to ensure practical and ship-based c... (ICS, INTERTANKO, CLIA and...).pdf · p.2, 3</w:t>
      </w:r>
    </w:p>
    <w:p>
      <w:pPr>
        <w:pStyle w:val="ItemHeading"/>
        <w:shd w:fill="E9F5EE"/>
        <w:pBdr>
          <w:left w:val="single" w:sz="18" w:space="8" w:color="246B46"/>
        </w:pBdr>
      </w:pPr>
      <w:r>
        <w:rPr>
          <w:rFonts w:ascii="Calibri" w:hAnsi="Calibri" w:eastAsia="Malgun Gothic"/>
          <w:b/>
          <w:color w:val="1F4D78"/>
          <w:sz w:val="23"/>
        </w:rPr>
        <w:t>BPDF-MEPC-033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BBNJ 협정 당사자들이 2026-2027년 기간 동안 IMO와 관련한 협의 및 조정 의무를 이행할 수 있도록 마련되어야 하는 내부 메커니즘은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BBNJ 협정 당사자들이 2026-2027년 기간 동안 IMO에 대한 협의 및 조정 의무를 이행할 수 있도록 명확한 내부 메커니즘을 구체화하고 운영해야 하며, 이는 매핑 작업으로 지원되는 기존 메커니즘을 활용할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BBNJ 협정 당사자들이 2026-2027년 기간 동안 IMO와 관련한 협의 및 조정 의무를 이행할 수 있도록, 매핑(mapping) 활동의 지원을 받아 기존 메커니즘을 활용하거나 이를 통해 명확한 내부 메커니즘을 구체화하고 운영하는 것이 제안됨.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'2026-2027년 기간', '기존 메커니즘 활용', '매핑 작업 지원', '명확한 내부 메커니즘 구체화 및 운영'이라는 핵심 요소를 모두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84-14-4 - Proposal for a new output to support the implementation of the BBNJ Agreement to protect t... (FOEI, IFAW, Pacific Envir...).pdf · p.4</w:t>
      </w:r>
    </w:p>
    <w:p>
      <w:pPr>
        <w:pStyle w:val="ItemHeading"/>
        <w:shd w:fill="E9F5EE"/>
        <w:pBdr>
          <w:left w:val="single" w:sz="18" w:space="8" w:color="246B46"/>
        </w:pBdr>
      </w:pPr>
      <w:r>
        <w:rPr>
          <w:rFonts w:ascii="Calibri" w:hAnsi="Calibri" w:eastAsia="Malgun Gothic"/>
          <w:b/>
          <w:color w:val="1F4D78"/>
          <w:sz w:val="23"/>
        </w:rPr>
        <w:t>BPDF-MEPC-034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선박이 3년 연속 D 등급을 받거나 E 등급으로 평가된 경우 Statement of Compliance를 발급받기 위한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3년 연속 D 등급 또는 E 등급인 선박은 시정 조치 계획(plan of corrective actions)이 적절하게 수립되고 반영되지 않으면 Statement of Compliance를 발급받을 수 없습니다.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선박이 3년 연속 D 등급을 받거나 MARPOL Annex VI 규정 28에 따라 E 등급으로 평가된 경우, 적절한 시정 조치 계획(plan of corrective actions)이 수립되어 SEEMP에 반영되고, 해당 SEEMP가 당국 또는 당국이 정당하게 권한을 부여한 기구에 의해 업데이트 및 검증되어야 Statement of Compliance를 발급받을 수 있습니다.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등급(3년 연속 D 또는 E)을 받은 선박은 시정 조치 계획이 SEEMP에 반영되고, 당국이나 권한을 부여받은 기구로부터 검증된 SEEMP를 확보해야만 Statement of Compliance 발급이 가능합니다.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원문의 'plan of corrective actions' 수립 및 반영 조건을 정확하게 포함하고 있으며, 질문에 대한 핵심 내용을 모두 충실히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84-6-21 - Further details of amendments to MARPOL Annex VI for the SEEMP-based approach (RINA).pdf · p.3</w:t>
      </w:r>
    </w:p>
    <w:p>
      <w:pPr>
        <w:pStyle w:val="ItemHeading"/>
        <w:shd w:fill="FDECEC"/>
        <w:pBdr>
          <w:left w:val="single" w:sz="18" w:space="8" w:color="9B1C1C"/>
        </w:pBdr>
      </w:pPr>
      <w:r>
        <w:rPr>
          <w:rFonts w:ascii="Calibri" w:hAnsi="Calibri" w:eastAsia="Malgun Gothic"/>
          <w:b/>
          <w:color w:val="1F4D78"/>
          <w:sz w:val="23"/>
        </w:rPr>
        <w:t>BPDF-MEPC-035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2026년부터 도입되는 IMO DCS의 강화된 데이터 수집 항목 중 '총 운송 작업(total transport work)' 데이터가 CII 계산에 즉시 적용되는지 여부는 어떻게 결정되었습니까?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2026년부터 수집되는 총 운송 작업 데이터의 즉각적인 CII 계산 적용은 위원회에서 논의되거나 합의된 바가 없습니다.</w:t>
      </w:r>
    </w:p>
    <w:p>
      <w:pPr>
        <w:pStyle w:val="FieldBody"/>
        <w:ind w:left="202" w:right="86"/>
        <w:shd w:fill="E8EEF5"/>
        <w:pBdr>
          <w:left w:val="single" w:sz="14" w:space="8" w:color="2E74B5"/>
        </w:pBdr>
      </w:pPr>
      <w:r>
        <w:rPr>
          <w:rFonts w:ascii="Calibri" w:hAnsi="Calibri" w:eastAsia="Malgun Gothic"/>
          <w:b w:val="0"/>
          <w:sz w:val="21"/>
        </w:rPr>
        <w:t>해당 데이터는 2026년부터 시작되는 CII 프레임워크의 단계 2 검토를 지원하기 위한 목적으로만 수집됩니다.</w:t>
      </w:r>
    </w:p>
    <w:p>
      <w:pPr>
        <w:pStyle w:val="FieldBody"/>
        <w:ind w:left="202" w:right="86"/>
        <w:shd w:fill="E8EEF5"/>
        <w:pBdr>
          <w:left w:val="single" w:sz="14" w:space="8" w:color="2E74B5"/>
        </w:pBdr>
      </w:pPr>
      <w:r>
        <w:rPr>
          <w:rFonts w:ascii="Calibri" w:hAnsi="Calibri" w:eastAsia="Malgun Gothic"/>
          <w:b w:val="0"/>
          <w:sz w:val="21"/>
        </w:rPr>
        <w:t>단계 2 검토가 완료되고 새로운 지표나 계산 방식이 공식적으로 채택될 때까지, CII Guideline G1은 현재의 접근 방식과 일치하는 공급 기반 운송 작업(Ws)을 계속 사용하도록 명확히 할 것을 제안합니다.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강화된 IMO DCS 데이터가 현재의 계산 프레임워크와 어떻게 상호작용하는지에 대한 명확한 설명이 부족하여, 2026년부터 수집되는 데이터가 현재의 CII 계산에 의도치 않은 부정적 영향을 미칠 가능성이 확인되었습니다.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'총 운송 작업(total transport work)' 데이터의 즉시 적용 여부와 그 결정 근거를 물었으나, 답변은 해당 핵심 내용에 대해 언급하지 않고 일반적인 시스템 상호작용 문제만 나열하여 질문에 답하지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84-6-17 - Proposed amendments to the CII Guidelines, G1 and the 2024 SEEMP Guidelines to prevent uni... (Brazil, India, Republic o...).pdf · p.1, 2</w:t>
      </w:r>
    </w:p>
    <w:p>
      <w:pPr>
        <w:pStyle w:val="ItemHeading"/>
        <w:shd w:fill="E9F5EE"/>
        <w:pBdr>
          <w:left w:val="single" w:sz="18" w:space="8" w:color="246B46"/>
        </w:pBdr>
      </w:pPr>
      <w:r>
        <w:rPr>
          <w:rFonts w:ascii="Calibri" w:hAnsi="Calibri" w:eastAsia="Malgun Gothic"/>
          <w:b/>
          <w:color w:val="1F4D78"/>
          <w:sz w:val="23"/>
        </w:rPr>
        <w:t>BPDF-MEPC-036</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서아프리카 경제통화연합(WAEMU)이 제출한 IMO와의 협력 요청에 대해 Council과 Assembly는 어떤 결정을 내렸습니까?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Council은 WAEMU의 협력 요청을 수용하여 이를 Assembly 제34차 회의에 제출했으며, A 34는 Council의 결정을 승인했습니다.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Council은 서아프리카 경제통화연합(WAEMU)의 IMO와의 협력 약정 요청에 동의하였으며, 이를 승인을 위해 제34차 Assembly에 제출하였습니다.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사실에 명시된 Council의 수용 및 Assembly(A 34) 제출/승인 과정을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84-2-5 - Outcomes of C 135 and A 34 (Secretariat).pdf · p.3</w:t>
      </w:r>
    </w:p>
    <w:p>
      <w:pPr>
        <w:pStyle w:val="ItemHeading"/>
        <w:shd w:fill="FFF6DA"/>
        <w:pBdr>
          <w:left w:val="single" w:sz="18" w:space="8" w:color="7A5A00"/>
        </w:pBdr>
      </w:pPr>
      <w:r>
        <w:rPr>
          <w:rFonts w:ascii="Calibri" w:hAnsi="Calibri" w:eastAsia="Malgun Gothic"/>
          <w:b/>
          <w:color w:val="1F4D78"/>
          <w:sz w:val="23"/>
        </w:rPr>
        <w:t>BPDF-MEPC-037</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84-12-2 문서에 따르면, Reserva Nacional Dorsal de Nasca(RNDN)가 PSSA로 지정된 주요 근거는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RNDN은 높은 생물학적 가치와 물리적, 화학적 및 생물학적 교란에 대한 높은 민감도를 포함하여 지침에서 설정된 생태적, 과학적 및 취약성 기준을 충족함</w:t>
      </w:r>
    </w:p>
    <w:p>
      <w:pPr>
        <w:pStyle w:val="FieldBody"/>
        <w:ind w:left="202" w:right="86"/>
        <w:shd w:fill="E8EEF5"/>
        <w:pBdr>
          <w:left w:val="single" w:sz="14" w:space="8" w:color="2E74B5"/>
        </w:pBdr>
      </w:pPr>
      <w:r>
        <w:rPr>
          <w:rFonts w:ascii="Calibri" w:hAnsi="Calibri" w:eastAsia="Malgun Gothic"/>
          <w:b w:val="0"/>
          <w:sz w:val="21"/>
        </w:rPr>
        <w:t>RNDN은 고유성, 상대적 고립성 및 높은 고유종 비율로 인해 특히 취약하며, 이에 따라 예방적 접근 방식(precautionary approach)을 적용해야 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RNDN은 높은 생물학적 가치와 물리적, 화학적 및 생물학적 교란에 대한 높은 민감도를 포함하여, 개정된 PSSA 식별 및 지정 지침(결의안 A.982(24), 결의안 MEPC.267(68)에 의해 수정됨)에서 설정한 생태학적, 과학적 및 취약성 기준을 충족하는 것으로 결정되었다.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Revised guidelines for the identification and designation of Particularly Sensitive Sea Areas (resolution A.982(24), as amended by resolution MEPC.267(68)).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답변이 첫 번째 골드 사실(생태적/과학적 기준 충족)은 정확하게 반영했으나, 두 번째 핵심 근거인 '고유성, 고립성 및 예방적 접근 방식의 필요성'에 대한 내용을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84-12-2 - Associated protective measures for the Reserva Nacional Dorsal de Nasca (Nasca Ridge Natio... (Peru).pdf · p.1, 2</w:t>
      </w:r>
    </w:p>
    <w:p>
      <w:pPr>
        <w:pStyle w:val="ItemHeading"/>
        <w:shd w:fill="FFF6DA"/>
        <w:pBdr>
          <w:left w:val="single" w:sz="18" w:space="8" w:color="7A5A00"/>
        </w:pBdr>
      </w:pPr>
      <w:r>
        <w:rPr>
          <w:rFonts w:ascii="Calibri" w:hAnsi="Calibri" w:eastAsia="Malgun Gothic"/>
          <w:b/>
          <w:color w:val="1F4D78"/>
          <w:sz w:val="23"/>
        </w:rPr>
        <w:t>BPDF-MEPC-038</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브라질 중간 재배 옥수수(intermediate crop corn) 기반 에탄올이 기존 1세대 에탄올 경로와 구별되는 환경적 특성을 갖는 이유는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브라질 중간 재배 옥수수는 대두 수확 후 동일한 토지에서 재배되어 토양 수분 유지 및 생산성 향상에 기여하며, 바이오매스로 가동되는 통합 건식 밀링 시스템(integrated dry-mill system)을 통해 화석 에너지 투입을 크게 줄입니다.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브라질 중간 재배 옥수수(intermediate crop corn) 기반 에탄올은 고유한 농업 시스템의 일부로 간주되어 기존 1세대 에탄올 경로와 구별되는 환경적 특성을 가집니다.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1/4 · 직접응답 예 · 모순 없음 · 근거 없는 구체 주장 없음 · 답변이 '고유한 농업 시스템'이라는 일반적인 표현만 언급했을 뿐, 골드 사실에 포함된 핵심 근거(토양 수분 유지/생산성 향상 및 바이오매스 기반 통합 건식 밀링을 통한 화석 에너지 절감)를 누락하여 정보의 완결성이 낮음.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84-7 - Well-to-tank and tank-to-wake default GHG emission factor for intermediate crop corn-based... (Brazil).pdf · p.4</w:t>
      </w:r>
    </w:p>
    <w:p>
      <w:pPr>
        <w:pStyle w:val="ItemHeading"/>
        <w:shd w:fill="E9F5EE"/>
        <w:pBdr>
          <w:left w:val="single" w:sz="18" w:space="8" w:color="246B46"/>
        </w:pBdr>
      </w:pPr>
      <w:r>
        <w:rPr>
          <w:rFonts w:ascii="Calibri" w:hAnsi="Calibri" w:eastAsia="Malgun Gothic"/>
          <w:b/>
          <w:color w:val="1F4D78"/>
          <w:sz w:val="23"/>
        </w:rPr>
        <w:t>BPDF-MEPC-039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SEEMP를 개정함으로써 강화되는 규제 집행(regulatory enforcement)의 두 가지 핵심 요소는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SEEMP 개정은 프로세스 강화(간접적 집행)와 책임성 강화(직접적 집행)에 초점을 맞춘다.</w:t>
      </w:r>
    </w:p>
    <w:p>
      <w:pPr>
        <w:pStyle w:val="FieldBody"/>
        <w:ind w:left="202" w:right="86"/>
        <w:shd w:fill="E8EEF5"/>
        <w:pBdr>
          <w:left w:val="single" w:sz="14" w:space="8" w:color="2E74B5"/>
        </w:pBdr>
      </w:pPr>
      <w:r>
        <w:rPr>
          <w:rFonts w:ascii="Calibri" w:hAnsi="Calibri" w:eastAsia="Malgun Gothic"/>
          <w:b w:val="0"/>
          <w:sz w:val="21"/>
        </w:rPr>
        <w:t>프로세스 강화는 안내 및 포괄적인 계획, 기록, 에너지 효율 이행 로그를 통한 증빙을 포함하며 교육이 요구된다.</w:t>
      </w:r>
    </w:p>
    <w:p>
      <w:pPr>
        <w:pStyle w:val="FieldBody"/>
        <w:ind w:left="202" w:right="86"/>
        <w:shd w:fill="E8EEF5"/>
        <w:pBdr>
          <w:left w:val="single" w:sz="14" w:space="8" w:color="2E74B5"/>
        </w:pBdr>
      </w:pPr>
      <w:r>
        <w:rPr>
          <w:rFonts w:ascii="Calibri" w:hAnsi="Calibri" w:eastAsia="Malgun Gothic"/>
          <w:b w:val="0"/>
          <w:sz w:val="21"/>
        </w:rPr>
        <w:t>책임성 강화는 내부 검토 의무화, 감사 강화 및 인증서와 연결된 감사를 포함한다.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SEEMP 개정으로 강화되는 규제 집행(regulatory enforcement)의 두 가지 핵심 요소는 프로세스 강화(strengthening processes)와 책임성 강화(strengthening accountability)입니다.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3/4 · 직접응답 예 · 모순 없음 · 근거 없는 구체 주장 없음 · 답변이 질문에서 요구한 두 가지 핵심 요소(프로세스 강화, 책임성 강화)를 정확하게 추출하였습니다. 다만, 골드 사실에 포함된 세부 내용(증빙 방법, 내부 검토 의무 등)까지는 모두 포함하지 않아 completeness에서 소폭 감점되었습니다.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84-6-20 - Further details of SEEMP-based approach (RINA).pdf · p.6</w:t>
      </w:r>
    </w:p>
    <w:p>
      <w:pPr>
        <w:pStyle w:val="ItemHeading"/>
        <w:shd w:fill="E9F5EE"/>
        <w:pBdr>
          <w:left w:val="single" w:sz="18" w:space="8" w:color="246B46"/>
        </w:pBdr>
      </w:pPr>
      <w:r>
        <w:rPr>
          <w:rFonts w:ascii="Calibri" w:hAnsi="Calibri" w:eastAsia="Malgun Gothic"/>
          <w:b/>
          <w:color w:val="1F4D78"/>
          <w:sz w:val="23"/>
        </w:rPr>
        <w:t>BPDF-MEPC-040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MEPC 회의자료에 따르면, 상업적 비밀 정보(commercial-in-confidence information)를 보호하기 위해 회원국이 데이터를 IMO에 제출하기 전에 취할 수 있는 조치는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회원국은 선호하는 국가적 접근 방식에 따라 데이터를 익명화하고 집계(anonymize and aggregate)할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회원국은 상업적 비밀 정보(commercial-in-confidence information)를 보호하기 위해, IMO에 데이터를 제출하기 전에 선호하는 국가적 접근 방식에 따라 데이터를 익명화(anonymize)하고 집계(aggregate)할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'익명화 및 집계' 조치를 정확하게 포함하고 있으며, 질문의 핵심 내용을 모두 충족함.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MEPC 84-8 - Implementation of voluntary reporting of data on lost or discharged fishing gear (Australia).pdf · p.1, 2</w:t>
      </w:r>
    </w:p>
    <w:p>
      <w:pPr>
        <w:pStyle w:val="Heading2"/>
      </w:pPr>
      <w:r>
        <w:t>MSC · 22문항 (정답 11 / 실패 9 / 보류 2)</w:t>
      </w:r>
    </w:p>
    <w:p>
      <w:pPr>
        <w:pStyle w:val="ItemHeading"/>
        <w:shd w:fill="E9F5EE"/>
        <w:pBdr>
          <w:left w:val="single" w:sz="18" w:space="8" w:color="246B46"/>
        </w:pBdr>
      </w:pPr>
      <w:r>
        <w:rPr>
          <w:rFonts w:ascii="Calibri" w:hAnsi="Calibri" w:eastAsia="Malgun Gothic"/>
          <w:b/>
          <w:color w:val="1F4D78"/>
          <w:sz w:val="23"/>
        </w:rPr>
        <w:t>BPDF-MSC-001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Technical Body가 매년 최소 몇 일 동안 개최되어야 하며 그 장소는 어디로 규정되어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Technical Body는 매년 최소 2일 동안 개최되어야 합니다.</w:t>
      </w:r>
    </w:p>
    <w:p>
      <w:pPr>
        <w:pStyle w:val="FieldBody"/>
        <w:ind w:left="202" w:right="86"/>
        <w:shd w:fill="E8EEF5"/>
        <w:pBdr>
          <w:left w:val="single" w:sz="14" w:space="8" w:color="2E74B5"/>
        </w:pBdr>
      </w:pPr>
      <w:r>
        <w:rPr>
          <w:rFonts w:ascii="Calibri" w:hAnsi="Calibri" w:eastAsia="Malgun Gothic"/>
          <w:b w:val="0"/>
          <w:sz w:val="21"/>
        </w:rPr>
        <w:t>회의 장소는 제네바의 Palais des Nations 또는 ECE 가이드라인에 따른 온라인으로 진행될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Technical Body는 매년 최소 2일 동안 개최되어야 하며, 상황과 자원이 허용될 경우 연장될 수 있습니다. [2]</w:t>
      </w:r>
    </w:p>
    <w:p>
      <w:pPr>
        <w:pStyle w:val="AnswerBody"/>
        <w:shd w:fill="F4F6F9"/>
        <w:numPr>
          <w:ilvl w:val="0"/>
          <w:numId w:val="10"/>
        </w:numPr>
      </w:pPr>
      <w:r>
        <w:rPr>
          <w:rFonts w:ascii="Calibri" w:hAnsi="Calibri" w:eastAsia="Malgun Gothic"/>
          <w:b w:val="0"/>
          <w:sz w:val="19"/>
        </w:rPr>
        <w:t>해당 회의 장소는 제네바에 위치한 Palais des Nations 및/또는 ECE 가이드라인에 따른 온라인으로 규정되어 있습니다.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Technical Body의 최소 개최 기간(2일)과 장소(Palais des Nations 및 온라인)를 골드 사실에 기반하여 정확하게 답변하였습니다.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111-14-6 - Revision of the IMOILOUNECE Code of Practice for Packing of Cargo Transport Units (CTU Cod... (Secretariat).pdf · p.5, 6</w:t>
      </w:r>
    </w:p>
    <w:p>
      <w:pPr>
        <w:pStyle w:val="ItemHeading"/>
        <w:shd w:fill="FFF6DA"/>
        <w:pBdr>
          <w:left w:val="single" w:sz="18" w:space="8" w:color="7A5A00"/>
        </w:pBdr>
      </w:pPr>
      <w:r>
        <w:rPr>
          <w:rFonts w:ascii="Calibri" w:hAnsi="Calibri" w:eastAsia="Malgun Gothic"/>
          <w:b/>
          <w:color w:val="1F4D78"/>
          <w:sz w:val="23"/>
        </w:rPr>
        <w:t>BPDF-MSC-002</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IACS Rec.165 Rev.1이 적용되는 대상과 그 목적은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IACS Rec.165 Rev.1은 설계자(designers), 조선소(shipyards), 계산 담당 기술 관리자(technical managers responsible for calculations) 및 대안과 동등성 승인에 관여하는 기타 조직을 대상으로 합니다.</w:t>
      </w:r>
    </w:p>
    <w:p>
      <w:pPr>
        <w:pStyle w:val="FieldBody"/>
        <w:ind w:left="202" w:right="86"/>
        <w:shd w:fill="E8EEF5"/>
        <w:pBdr>
          <w:left w:val="single" w:sz="14" w:space="8" w:color="2E74B5"/>
        </w:pBdr>
      </w:pPr>
      <w:r>
        <w:rPr>
          <w:rFonts w:ascii="Calibri" w:hAnsi="Calibri" w:eastAsia="Malgun Gothic"/>
          <w:b w:val="0"/>
          <w:sz w:val="21"/>
        </w:rPr>
        <w:t>해당 권고안은 CSR 및 기타 요구사항으로부터의 편차(deviations)가 GBS를 준수함을 입증하는 경우에도 적용됩니다.</w:t>
      </w:r>
    </w:p>
    <w:p>
      <w:pPr>
        <w:pStyle w:val="FieldBody"/>
        <w:ind w:left="202" w:right="86"/>
        <w:shd w:fill="E8EEF5"/>
        <w:pBdr>
          <w:left w:val="single" w:sz="14" w:space="8" w:color="2E74B5"/>
        </w:pBdr>
      </w:pPr>
      <w:r>
        <w:rPr>
          <w:rFonts w:ascii="Calibri" w:hAnsi="Calibri" w:eastAsia="Malgun Gothic"/>
          <w:b w:val="0"/>
          <w:sz w:val="21"/>
        </w:rPr>
        <w:t>선급협회(Classification Societies)가 제출된 정보의 CSR 준수 여부 또는 구조적 안전성 수준이 요구사항과 동등한지 평가할 때 적용됩니다.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또한, IACS Rec.165 Rev.1은 설계자 또는 조선소로부터 제출된 정보가 CSR을 준수하는지, 또는 그 구조적 안전 수준이 CSR 요건에 의해 보장되는 것과 최소 동등한지를 평가할 때 선급(Classification Societies)을 대상으로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1/4 · 직접응답 예 · 모순 없음 · 근거 없는 구체 주장 없음 · 답변이 선급(Classification Societies) 대상 부분만 언급하고 있으며, 질문에서 요구한 '설계자, 조선소, 기술 관리자' 및 '편차(deviations) 준수 입증 시 적용'이라는 핵심 대상을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111-4-1 - Final report of the Fourth GBS Maintenance of Verification Audit of 14 recognized organiza... (Secretary-General).pdf · p.23</w:t>
      </w:r>
    </w:p>
    <w:p>
      <w:pPr>
        <w:pStyle w:val="ItemHeading"/>
        <w:shd w:fill="FDECEC"/>
        <w:pBdr>
          <w:left w:val="single" w:sz="18" w:space="8" w:color="9B1C1C"/>
        </w:pBdr>
      </w:pPr>
      <w:r>
        <w:rPr>
          <w:rFonts w:ascii="Calibri" w:hAnsi="Calibri" w:eastAsia="Malgun Gothic"/>
          <w:b/>
          <w:color w:val="1F4D78"/>
          <w:sz w:val="23"/>
        </w:rPr>
        <w:t>BPDF-MSC-003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IAPH가 신기술 관련 사이버 복원력 지침(Cyber Resilience Guidelines)을 개발하게 된 배경은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IAPH는 디지털 환경에서 운영되는 데 따른 방대한 기회와 위험을 인식하고, 해운 산업 내 신기술 및 진화하는 기술과 관련된 사이버 위협을 완화하기 위한 프레임워크를 포함한 새로운 사이버 복원력 지침(Cyber Resilience Guidelines)을 개발했습니다.</w:t>
      </w:r>
    </w:p>
    <w:p>
      <w:pPr>
        <w:pStyle w:val="FieldBody"/>
        <w:ind w:left="202" w:right="86"/>
        <w:shd w:fill="E8EEF5"/>
        <w:pBdr>
          <w:left w:val="single" w:sz="14" w:space="8" w:color="2E74B5"/>
        </w:pBdr>
      </w:pPr>
      <w:r>
        <w:rPr>
          <w:rFonts w:ascii="Calibri" w:hAnsi="Calibri" w:eastAsia="Malgun Gothic"/>
          <w:b w:val="0"/>
          <w:sz w:val="21"/>
        </w:rPr>
        <w:t>IAPH는 MSC 107에서 해상 사이버 위험 관리 지침(MSC-FAL.1/Circ.3/Rev.2)에 대한 포괄적인 검토와 향후 단계 파악을 위한 새로운 결과물을 설정하는 데 동의했습니다.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해당 지침은 항만이 사이버 위협으로부터 스스로를 보호하기 위한 다음 단계의 가이드라인 역할을 수행할 뿐만 아니라, 혁신 및 디지털화 촉진, 그리고 더 효율적이고 지속 가능하며 예측 가능한 화물 흐름을 가져올 수 있는 잠재력을 가진 기술들을 항만이 수용하도록 장려하는 것을 목표로 합니다.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IAPH가 신기술 관련 사이버 복원력 지침을 개발하게 된 '배경'을 묻고 있으나, 답변은 해당 지침의 '목표(장려/촉진)'에 대해서만 언급하고 있으며 골드 사실에 포함된 핵심 배경(디지털 환경의 기회와 위험 인식 및 신기술 관련 위협 완화)을 전혀 포함하지 못했습니다.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111-21-3 - IAPH Cyber Resilience Guidelines for Emerging Technologies (IAPH).pdf · p.1, 2</w:t>
      </w:r>
    </w:p>
    <w:p>
      <w:pPr>
        <w:pStyle w:val="ItemHeading"/>
        <w:shd w:fill="E9F5EE"/>
        <w:pBdr>
          <w:left w:val="single" w:sz="18" w:space="8" w:color="246B46"/>
        </w:pBdr>
      </w:pPr>
      <w:r>
        <w:rPr>
          <w:rFonts w:ascii="Calibri" w:hAnsi="Calibri" w:eastAsia="Malgun Gothic"/>
          <w:b/>
          <w:color w:val="1F4D78"/>
          <w:sz w:val="23"/>
        </w:rPr>
        <w:t>BPDF-MSC-004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GBS 데이터베이스 구축을 위해 워크숍 참가자들이 검토하고 초안을 작성한 사항은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워크숍 참가자들은 사무국이 준비한 예비 초안을 바탕으로 데이터베이스의 필요한 고수준 사양과 기능을 검토하고 작성했습니다.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워크숍 참가자들은 사무국이 작성한 예비 초안을 바탕으로 데이터베이스의 필요한 상위 수준 사양(high-level specifications) 및 기능(functionalities)을 검토하고 초안을 작성하였다.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'사무국 예비 초안 기반', '고수준 사양 및 기능 검토/초안 작성' 내용을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111-INF.2 - Goal-based ship construction standards - Outcome of the third GBS Workshop (Secretariat).pdf · p.5</w:t>
      </w:r>
    </w:p>
    <w:p>
      <w:pPr>
        <w:pStyle w:val="ItemHeading"/>
        <w:shd w:fill="E9F5EE"/>
        <w:pBdr>
          <w:left w:val="single" w:sz="18" w:space="8" w:color="246B46"/>
        </w:pBdr>
      </w:pPr>
      <w:r>
        <w:rPr>
          <w:rFonts w:ascii="Calibri" w:hAnsi="Calibri" w:eastAsia="Malgun Gothic"/>
          <w:b/>
          <w:color w:val="1F4D78"/>
          <w:sz w:val="23"/>
        </w:rPr>
        <w:t>BPDF-MSC-005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해저 통신 및 전력 케이블에 대한 주요 외부 위험 요소는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해양 활동이 해저 케이블에 대한 주요 외부 위험이며, 특히 항행 중 부주의하게 투하되거나 끌린 앵커가 중요한 손상 원인임.</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해양 활동은 해저 케이블에 대한 주요 외부 위험 요소로 남아 있습니다. [1]</w:t>
      </w:r>
    </w:p>
    <w:p>
      <w:pPr>
        <w:pStyle w:val="AnswerBody"/>
        <w:shd w:fill="F4F6F9"/>
        <w:numPr>
          <w:ilvl w:val="0"/>
          <w:numId w:val="10"/>
        </w:numPr>
      </w:pPr>
      <w:r>
        <w:rPr>
          <w:rFonts w:ascii="Calibri" w:hAnsi="Calibri" w:eastAsia="Malgun Gothic"/>
          <w:b w:val="0"/>
          <w:sz w:val="19"/>
        </w:rPr>
        <w:t>항행 중인 선박에서 의도치 않게 투하되거나 끌려가는 닻(anchors)이 상당하고 예방 가능한 손상의 원인이 됩니다. [1]</w:t>
      </w:r>
    </w:p>
    <w:p>
      <w:pPr>
        <w:pStyle w:val="AnswerBody"/>
        <w:shd w:fill="F4F6F9"/>
        <w:numPr>
          <w:ilvl w:val="0"/>
          <w:numId w:val="10"/>
        </w:numPr>
      </w:pPr>
      <w:r>
        <w:rPr>
          <w:rFonts w:ascii="Calibri" w:hAnsi="Calibri" w:eastAsia="Malgun Gothic"/>
          <w:b w:val="0"/>
          <w:sz w:val="19"/>
        </w:rPr>
        <w:t>어구와 해저 케이블 간의 상호작용은 어부 및 기타 해상 이용자에게 심각한 안전 위험을 초래할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해양 활동 및 닻으로 인한 손상 원인을 정확하게 포함하고 있으며, 추가적인 정보(어구 관련)도 원문에 기반하여 적절히 기술함.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111-INF.13 - Information regarding submarine cable damage (the Nautical Institute an...).pdf · p.1</w:t>
      </w:r>
    </w:p>
    <w:p>
      <w:pPr>
        <w:pStyle w:val="ItemHeading"/>
        <w:shd w:fill="FDECEC"/>
        <w:pBdr>
          <w:left w:val="single" w:sz="18" w:space="8" w:color="9B1C1C"/>
        </w:pBdr>
      </w:pPr>
      <w:r>
        <w:rPr>
          <w:rFonts w:ascii="Calibri" w:hAnsi="Calibri" w:eastAsia="Malgun Gothic"/>
          <w:b/>
          <w:color w:val="1F4D78"/>
          <w:sz w:val="23"/>
        </w:rPr>
        <w:t>BPDF-MSC-006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EBP 단계에서 수집된 데이터를 분석하기 위해 어떤 형태의 전담 그룹을 구성할 것을 제안하고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데이터를 매년 분석하고 위원회에 보고하기 위해 'MASS Data Review Group'이라는 이름의 워킹그룹(WG) 또는 교신그룹(CG)을 운영할 것을 제안함.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찾지 못했다고 기술하였으나, 골드 원문에는 'MASS Data Review Group'이라는 구체적인 명칭과 WG/CG 형태의 구성 제안이 명시되어 있어 정보 추출에 실패함.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111-5-10 - Proposal for a strategic approach to the development of the Experience-Building Phase (EBP... (Republic of Korea).pdf · p.2</w:t>
      </w:r>
    </w:p>
    <w:p>
      <w:pPr>
        <w:pStyle w:val="ItemHeading"/>
        <w:shd w:fill="E9F5EE"/>
        <w:pBdr>
          <w:left w:val="single" w:sz="18" w:space="8" w:color="246B46"/>
        </w:pBdr>
      </w:pPr>
      <w:r>
        <w:rPr>
          <w:rFonts w:ascii="Calibri" w:hAnsi="Calibri" w:eastAsia="Malgun Gothic"/>
          <w:b/>
          <w:color w:val="1F4D78"/>
          <w:sz w:val="23"/>
        </w:rPr>
        <w:t>BPDF-MSC-007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111-1 문서에 따르면, 6페이지 이하의 비방대한(non-bulky) 문서는 언제까지 제출해야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6페이지 이하의 비방대한 문서 및 전자 형식으로 제출된 방대한 정보 문서는 2026년 3월 10일까지 제출해야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6페이지 이하의 비방대한(non-bulky) 문서는 2026년 3월 10일까지 사무국에 제출되어야 합니다.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111-1 [1]</w:t>
      </w:r>
    </w:p>
    <w:p>
      <w:pPr>
        <w:pStyle w:val="AnswerBody"/>
        <w:shd w:fill="F4F6F9"/>
        <w:numPr>
          <w:ilvl w:val="0"/>
          <w:numId w:val="10"/>
        </w:numPr>
      </w:pPr>
      <w:r>
        <w:rPr>
          <w:rFonts w:ascii="Calibri" w:hAnsi="Calibri" w:eastAsia="Malgun Gothic"/>
          <w:b w:val="0"/>
          <w:sz w:val="19"/>
        </w:rPr>
        <w:t>MSC 111-1-Rev.1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질문에서 요구한 '6페이지 이하의 비방대한 문서'에 대한 제출 기한(2026년 3월 10일)을 골드 사실과 정확히 일치하게 답변하였습니다.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111-1 - for the 111th session of the Maritime Safety Committee,to be held from Wednesday, 13 May t... (Secretariat).pdf · p.2, 3</w:t>
      </w:r>
    </w:p>
    <w:p>
      <w:pPr>
        <w:pStyle w:val="ItemHeading"/>
        <w:shd w:fill="E9F5EE"/>
        <w:pBdr>
          <w:left w:val="single" w:sz="18" w:space="8" w:color="246B46"/>
        </w:pBdr>
      </w:pPr>
      <w:r>
        <w:rPr>
          <w:rFonts w:ascii="Calibri" w:hAnsi="Calibri" w:eastAsia="Malgun Gothic"/>
          <w:b/>
          <w:color w:val="1F4D78"/>
          <w:sz w:val="23"/>
        </w:rPr>
        <w:t>BPDF-MSC-008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111-14-10 문서에 따르면, 선장이 회원국(Member States)에게 컨테이너 분실을 보고할 때 반드시 해당 링크의 양식을 사용해야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선장은 회원국(Member States)에 보고할 때 제공된 특정 온라인 양식(https://forms.office.com/e/9iRJmBGRXK)을 사용할 필요가 없습니다.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MSC 111-14-10 문서는 위원회에 회원국(Member States)이 선장이 컨테이너 분실 또는 표류를 보고할 때 해당 양식(templates)을 사용하도록 요청하는 것을 장려할 것을 고려해 달라고 요청하고 있습니다. [1]</w:t>
      </w:r>
    </w:p>
    <w:p>
      <w:pPr>
        <w:pStyle w:val="AnswerBody"/>
        <w:shd w:fill="F4F6F9"/>
        <w:numPr>
          <w:ilvl w:val="0"/>
          <w:numId w:val="10"/>
        </w:numPr>
      </w:pPr>
      <w:r>
        <w:rPr>
          <w:rFonts w:ascii="Calibri" w:hAnsi="Calibri" w:eastAsia="Malgun Gothic"/>
          <w:b w:val="0"/>
          <w:sz w:val="19"/>
        </w:rPr>
        <w:t>따라서 선장이 반드시 해당 링크의 양식을 사용해야 한다는 의무 사항은 명시되지 않았으며, 회원국이 이를 권고하거나 요구하도록 하는 방안에 대한 검토 단계입니다.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111-14-10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3/4 · 완전성 4/4 · 직접응답 예 · 모순 없음 · 근거 없는 구체 주장 없음 · 답변이 '의무 사항이 명시되지 않았다'고 정확히 기술하였으며, 이는 골드 사실(사용할 필요가 없음)과 일치함. 다만 질문에 대한 직접적인 답변보다 상황 설명 위주로 서술됨.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111-14-10 - Report of the eleventh session of the Sub-CommitteeTemplates for use by masters when repor... (Marshall Islands, Republi...).pdf · p.1, 2</w:t>
      </w:r>
    </w:p>
    <w:p>
      <w:pPr>
        <w:pStyle w:val="ItemHeading"/>
        <w:shd w:fill="E9F5EE"/>
        <w:pBdr>
          <w:left w:val="single" w:sz="18" w:space="8" w:color="246B46"/>
        </w:pBdr>
      </w:pPr>
      <w:r>
        <w:rPr>
          <w:rFonts w:ascii="Calibri" w:hAnsi="Calibri" w:eastAsia="Malgun Gothic"/>
          <w:b/>
          <w:color w:val="1F4D78"/>
          <w:sz w:val="23"/>
        </w:rPr>
        <w:t>BPDF-MSC-009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선박의 온실가스(GHG) 배출 저감을 위해 신기술 및 대체 연료를 활용하는 안전 규제 프레임워크 개발을 위한 작업 계획(draft work plan)은 어떤 상태입니까?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신기술 및 대체 연료를 사용하여 선박의 온실가스 배출을 줄이기 위한 안전 규제 프레임워크 개발용 초안 작업 계획이 승인되었습니다.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위원회(MSC)는 SDC 소위원회 관할 하에 신기술 및 대체 연료를 사용하여 선박의 온실가스(GHG) 배출을 줄이기 위한 안전 규제 프레임워크 개발용 작업 계획 초안(draft work plan)을 검토하였습니다.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3/4 · 완전성 3/4 · 직접응답 예 · 모순 없음 · 근거 없는 구체 주장 없음 · 답변이 '검토하였습니다'라고 기술했으나 골드 원문은 '승인되었습니다(approve)'를 명시하고 있어 상태에 대한 정확한 표현이 약간 부족함. 그러나 핵심 내용인 신기술/대체 연료 기반 안전 규제 프레임워크 개발을 위한 작업 계획 초안이라는 점은 정확히 포함됨.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111-12 - Report of the twelfth session of the Sub-Committee (Secretariat).pdf · p.3</w:t>
      </w:r>
    </w:p>
    <w:p>
      <w:pPr>
        <w:pStyle w:val="ItemHeading"/>
        <w:shd w:fill="FFF6DA"/>
        <w:pBdr>
          <w:left w:val="single" w:sz="18" w:space="8" w:color="7A5A00"/>
        </w:pBdr>
      </w:pPr>
      <w:r>
        <w:rPr>
          <w:rFonts w:ascii="Calibri" w:hAnsi="Calibri" w:eastAsia="Malgun Gothic"/>
          <w:b/>
          <w:color w:val="1F4D78"/>
          <w:sz w:val="23"/>
        </w:rPr>
        <w:t>BPDF-MSC-010</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소프트웨어 업데이트가 발생할 경우를 대비하여 MASS Record 및 MASS ROC Record에 포함되어야 하는 정보는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소프트웨어 인증 버전을 기록하고, 버전 번호에 따라 재검증 또는 검사가 필요한 시점을 명확히 표시해야 합니다.</w:t>
      </w:r>
    </w:p>
    <w:p>
      <w:pPr>
        <w:pStyle w:val="FieldBody"/>
        <w:ind w:left="202" w:right="86"/>
        <w:shd w:fill="E8EEF5"/>
        <w:pBdr>
          <w:left w:val="single" w:sz="14" w:space="8" w:color="2E74B5"/>
        </w:pBdr>
      </w:pPr>
      <w:r>
        <w:rPr>
          <w:rFonts w:ascii="Calibri" w:hAnsi="Calibri" w:eastAsia="Malgun Gothic"/>
          <w:b w:val="0"/>
          <w:sz w:val="21"/>
        </w:rPr>
        <w:t>소프트웨어 수명 주기 유지의 타당성을 고려해야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소프트웨어 업데이트로 인해 발생할 수 있는 소프트웨어 버전 번호의 변경 및 관련 검증, 검사 요구사항, 제3자 성명(third-party statements)에 영향을 미칠 가능성을 고려하여, MASS Record 및 MASS ROC Record에 인증된 소프트웨어 버전을 나타내는 섹션이 포함되어야 합니다.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3/4 · 완전성 2/4 · 직접응답 예 · 모순 없음 · 근거 없는 구체 주장 없음 · 답변이 '인증된 버전 포함'과 '업데이트 시 영향 고려'를 정확히 언급했으나, 골드 사실의 핵심 요소 중 하나인 '재검증 또는 검사가 필요한 시점을 명확히 표시해야 함'에 대한 내용이 누락되었습니다.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111-5-15 - Comments of substance on document MSC 11156 (IACS).pdf · p.3</w:t>
      </w:r>
    </w:p>
    <w:p>
      <w:pPr>
        <w:pStyle w:val="ItemHeading"/>
        <w:shd w:fill="FDECEC"/>
        <w:pBdr>
          <w:left w:val="single" w:sz="18" w:space="8" w:color="9B1C1C"/>
        </w:pBdr>
      </w:pPr>
      <w:r>
        <w:rPr>
          <w:rFonts w:ascii="Calibri" w:hAnsi="Calibri" w:eastAsia="Malgun Gothic"/>
          <w:b/>
          <w:color w:val="1F4D78"/>
          <w:sz w:val="23"/>
        </w:rPr>
        <w:t>BPDF-MSC-011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MASS 및 ROC를 위한 경보 관리(alert management) 시스템이 갖추어야 할 설계 원칙은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경보 관리는 MSC.302(87) 결의안에 명시된 Bridge Alert Management (BAM) 개념의 기본 원칙을 따라야 합니다.</w:t>
      </w:r>
    </w:p>
    <w:p>
      <w:pPr>
        <w:pStyle w:val="FieldBody"/>
        <w:ind w:left="202" w:right="86"/>
        <w:shd w:fill="E8EEF5"/>
        <w:pBdr>
          <w:left w:val="single" w:sz="14" w:space="8" w:color="2E74B5"/>
        </w:pBdr>
      </w:pPr>
      <w:r>
        <w:rPr>
          <w:rFonts w:ascii="Calibri" w:hAnsi="Calibri" w:eastAsia="Malgun Gothic"/>
          <w:b w:val="0"/>
          <w:sz w:val="21"/>
        </w:rPr>
        <w:t>가능한 경우, 주의가 필요한 하나의 상황에 대해 하나 이상의 경보를 생성하지 않아야 하며, 고우선순위 경보의 수를 최소화할 수 있는 논리적 구조를 가져야 합니다.</w:t>
      </w:r>
    </w:p>
    <w:p>
      <w:pPr>
        <w:pStyle w:val="FieldBody"/>
        <w:ind w:left="202" w:right="86"/>
        <w:shd w:fill="E8EEF5"/>
        <w:pBdr>
          <w:left w:val="single" w:sz="14" w:space="8" w:color="2E74B5"/>
        </w:pBdr>
      </w:pPr>
      <w:r>
        <w:rPr>
          <w:rFonts w:ascii="Calibri" w:hAnsi="Calibri" w:eastAsia="Malgun Gothic"/>
          <w:b w:val="0"/>
          <w:sz w:val="21"/>
        </w:rPr>
        <w:t>청각 경보는 운영자를 해당 기능이 할당된 작업 스테이션으로 안내해야 하며, 시각적 일관성을 유지하고 조치 사항이 모든 관련 스테이션에 표시되어야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경보 관리는 MASS 및 ROC 운항을 지원하는 데 필요한 모든 시스템 또는 구성 요소의 경보를 처리해야 하며, 그 외의 모든 경보도 일관된 방식으로 처리할 수 있는 능력을 갖추어야 합니다. [2],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선장은 항상 경보를 수신하고 경보 관리에 접근할 수 있어야 하며, MASS 담당 운영자는 경보 관리 Human Machine Interface(HMI)를 직접 처리할 수 있어야 합니다. [1], [2]</w:t>
      </w:r>
    </w:p>
    <w:p>
      <w:pPr>
        <w:pStyle w:val="AnswerBody"/>
        <w:shd w:fill="F4F6F9"/>
        <w:numPr>
          <w:ilvl w:val="0"/>
          <w:numId w:val="10"/>
        </w:numPr>
      </w:pPr>
      <w:r>
        <w:rPr>
          <w:rFonts w:ascii="Calibri" w:hAnsi="Calibri" w:eastAsia="Malgun Gothic"/>
          <w:b w:val="0"/>
          <w:sz w:val="19"/>
        </w:rPr>
        <w:t>중앙 경보 관리 HMI는 운영자를 위해 제어 위치에 제공될 수 있어야 합니다. [1], [2]</w:t>
      </w:r>
    </w:p>
    <w:p>
      <w:pPr>
        <w:pStyle w:val="AnswerBody"/>
        <w:shd w:fill="F4F6F9"/>
        <w:numPr>
          <w:ilvl w:val="0"/>
          <w:numId w:val="10"/>
        </w:numPr>
      </w:pPr>
      <w:r>
        <w:rPr>
          <w:rFonts w:ascii="Calibri" w:hAnsi="Calibri" w:eastAsia="Malgun Gothic"/>
          <w:b w:val="0"/>
          <w:sz w:val="19"/>
        </w:rPr>
        <w:t>위험 대상 알람과 같은 사례의 경우, 충돌 회피 기능이 제공되는 워크스테이션에서 나타나고 확인되어야 합니다. [3]</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있음 · 질문은 '설계 원칙'을 물었으나 답변은 시스템의 처리 능력과 HMI 위치 등 부차적인 내용에 집중함. 특히 'BAM 개념 준수', '상황당 경보 최소화', '시각적 일관성' 등 골드 사실의 핵심 설계 원칙들을 대부분 누락하거나 제대로 반영하지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111-5-2 - Editorial revision of the draft MASS Code (Chair and the Secretariat).pdf · p.43</w:t>
      </w:r>
    </w:p>
    <w:p>
      <w:pPr>
        <w:pStyle w:val="ItemHeading"/>
        <w:shd w:fill="FDECEC"/>
        <w:pBdr>
          <w:left w:val="single" w:sz="18" w:space="8" w:color="9B1C1C"/>
        </w:pBdr>
      </w:pPr>
      <w:r>
        <w:rPr>
          <w:rFonts w:ascii="Calibri" w:hAnsi="Calibri" w:eastAsia="Malgun Gothic"/>
          <w:b/>
          <w:color w:val="1F4D78"/>
          <w:sz w:val="23"/>
        </w:rPr>
        <w:t>BPDF-MSC-012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회의자료를 참고할 때, MASS Code 초안의 제4장(정의)은 현재 어떤 상태에 있으며 관련 작업은 어디에서 수행될 예정입니까?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MASS Code 초안의 제4장(Definitions)은 아직 확정되지 않았습니다.</w:t>
      </w:r>
    </w:p>
    <w:p>
      <w:pPr>
        <w:pStyle w:val="FieldBody"/>
        <w:ind w:left="202" w:right="86"/>
        <w:shd w:fill="E8EEF5"/>
        <w:pBdr>
          <w:left w:val="single" w:sz="14" w:space="8" w:color="2E74B5"/>
        </w:pBdr>
      </w:pPr>
      <w:r>
        <w:rPr>
          <w:rFonts w:ascii="Calibri" w:hAnsi="Calibri" w:eastAsia="Malgun Gothic"/>
          <w:b w:val="0"/>
          <w:sz w:val="21"/>
        </w:rPr>
        <w:t>해당 작업은 MSC 111 MASS Working Group에서 수행할 것으로 예상됩니다.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MSC 111-5-2 문서에 포함된 MASS Code 초안의 제4장(정의)은 현재 편집 수정(Editorial revision) 상태입니다.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해당 초안의 최종 채택 여부 및 관련 작업이 수행될 구체적인 장소나 조직에 대한 정보는 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'확정되지 않음'과 'MSC 111 MASS Working Group에서 수행 예정'이라는 골드 사실을 모두 누락했으며, 오히려 존재하지 않는 '편집 수정(Editorial revision)' 상태라는 잘못된 정보를 생성함.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111-5-12 - Comments for consideration in the finalization of the MASS Code (United Kingdom).pdf · p.1</w:t>
      </w:r>
    </w:p>
    <w:p>
      <w:pPr>
        <w:pStyle w:val="ItemHeading"/>
        <w:shd w:fill="FDECEC"/>
        <w:pBdr>
          <w:left w:val="single" w:sz="18" w:space="8" w:color="9B1C1C"/>
        </w:pBdr>
      </w:pPr>
      <w:r>
        <w:rPr>
          <w:rFonts w:ascii="Calibri" w:hAnsi="Calibri" w:eastAsia="Malgun Gothic"/>
          <w:b/>
          <w:color w:val="1F4D78"/>
          <w:sz w:val="23"/>
        </w:rPr>
        <w:t>BPDF-MSC-013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비자체 추진형 원자력 FPUs를 위한 비강제적 안전 지침을 즉시 개발해야 하는 이유는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FPU 건설에 약 4년이 소요되며, 설계 단계부터 안전 지침이 고려되어야 하기 때문입니다.</w:t>
      </w:r>
    </w:p>
    <w:p>
      <w:pPr>
        <w:pStyle w:val="FieldBody"/>
        <w:ind w:left="202" w:right="86"/>
        <w:shd w:fill="E8EEF5"/>
        <w:pBdr>
          <w:left w:val="single" w:sz="14" w:space="8" w:color="2E74B5"/>
        </w:pBdr>
      </w:pPr>
      <w:r>
        <w:rPr>
          <w:rFonts w:ascii="Calibri" w:hAnsi="Calibri" w:eastAsia="Malgun Gothic"/>
          <w:b w:val="0"/>
          <w:sz w:val="21"/>
        </w:rPr>
        <w:t>투명한 규제 기반 마련을 가속화하고 향후 국제 프로젝트 배치의 전제 조건을 마련하기 위함입니다.</w:t>
      </w:r>
    </w:p>
    <w:p>
      <w:pPr>
        <w:pStyle w:val="FieldBody"/>
        <w:ind w:left="202" w:right="86"/>
        <w:shd w:fill="E8EEF5"/>
        <w:pBdr>
          <w:left w:val="single" w:sz="14" w:space="8" w:color="2E74B5"/>
        </w:pBdr>
      </w:pPr>
      <w:r>
        <w:rPr>
          <w:rFonts w:ascii="Calibri" w:hAnsi="Calibri" w:eastAsia="Malgun Gothic"/>
          <w:b w:val="0"/>
          <w:sz w:val="21"/>
        </w:rPr>
        <w:t>FPU 건설 최종 단계 및 운송 시 제3국 영해와 공해를 통과할 때 발생하는 어려움을 해결하기 위함입니다.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비강제적 안전 지침의 부재는 반잠수식 도크선 등을 이용한 FPU의 운송에 장애가 되지 않으나, 국제 기후 규제의 흐름에 따라 저탄소 원자력 기술 기반의 유망한 솔루션(원자력 FPU 포함)을 가속화하기 위한 공동 노력이 필요합니다.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답변이 질문에서 요구한 '즉시 개발해야 하는 이유(건설 기간, 규제 기반 마련, 운송 시의 어려움)'를 전혀 언급하지 않고, 원문에도 없는 '국제 기후 규제' 및 '저탄소 기술' 등의 엉뚱한 내용을 포함하고 있어 사실관계가 완전히 틀렸습니다.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111-19-5 - Proposal of a new output for the development of non-mandatory safety guidelines for non-se... (Russian Federation).pdf · p.9</w:t>
      </w:r>
    </w:p>
    <w:p>
      <w:pPr>
        <w:pStyle w:val="ItemHeading"/>
        <w:shd w:fill="FDECEC"/>
        <w:pBdr>
          <w:left w:val="single" w:sz="18" w:space="8" w:color="9B1C1C"/>
        </w:pBdr>
      </w:pPr>
      <w:r>
        <w:rPr>
          <w:rFonts w:ascii="Calibri" w:hAnsi="Calibri" w:eastAsia="Malgun Gothic"/>
          <w:b/>
          <w:color w:val="1F4D78"/>
          <w:sz w:val="23"/>
        </w:rPr>
        <w:t>BPDF-MSC-014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감사된 규칙(audited rules)의 이행이 GBS 검증 프로세스 범위 내에서 다루어져야 하는지 여부는 어떻게 기술되어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감사된 규칙(audited rules)의 이행은 이미 기항국(flag States)의 RO에 대한 감독 및 감사로 다루어지므로 GBS 검증 프로세스 프레임워크 내에서 다뤄져서는 안 된다고 간주됩니다.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GBS Verification Guidelines의 Paragraph 10.8.3에 따라 제출자는 초기 검증 시 제3자 규칙(third-party rules)의 적절한 모니터링 및 이행을 보장하는 프로세스, 절차 및 지원 문서를 상세히 기술한 기술 문서 패키지를 제출해야 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IACS는 소프트웨어 검증이 GBS 프레임워크의 범위에 해당하지 않는다고 판단하고 있습니다. [2]</w:t>
      </w:r>
    </w:p>
    <w:p>
      <w:pPr>
        <w:pStyle w:val="AnswerBody"/>
        <w:shd w:fill="F4F6F9"/>
        <w:numPr>
          <w:ilvl w:val="0"/>
          <w:numId w:val="10"/>
        </w:numPr>
      </w:pPr>
      <w:r>
        <w:rPr>
          <w:rFonts w:ascii="Calibri" w:hAnsi="Calibri" w:eastAsia="Malgun Gothic"/>
          <w:b w:val="0"/>
          <w:sz w:val="19"/>
        </w:rPr>
        <w:t>규칙 변경 식별을 용이하게 하기 위한 조화된 방법(예: 요약 표 내 하이퍼링크 사용)은 유용할 수 있으나, 이는 자발적인 것이어야 하며 RO가 GBS 검용 범위를 벗어난 내부 규칙 개발 프로세스를 수정해야 하는 의무를 부과해서는 안 됩니다. [3]</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111-4-2 - Report on the audit process for the combined BKI Rectification and the Fourth GBS Maintena...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답변은 '제3자 규칙의 모니터링 및 이행을 보장하는 기술 문서 제출'에 대해 언급하고 있으나, 이는 골드 사실(감사된 규칙이 GBS 검증 범위 내에서 다뤄져서는 안 된다는 내용)과 전혀 무관하며 질문에 대한 직접적인 답변을 제공하지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111-4-4 - Comments on document MSC 11142 (IACS).pdf · p.2</w:t>
      </w:r>
    </w:p>
    <w:p>
      <w:pPr>
        <w:pStyle w:val="ItemHeading"/>
        <w:shd w:fill="FDECEC"/>
        <w:pBdr>
          <w:left w:val="single" w:sz="18" w:space="8" w:color="9B1C1C"/>
        </w:pBdr>
      </w:pPr>
      <w:r>
        <w:rPr>
          <w:rFonts w:ascii="Calibri" w:hAnsi="Calibri" w:eastAsia="Malgun Gothic"/>
          <w:b/>
          <w:color w:val="1F4D78"/>
          <w:sz w:val="23"/>
        </w:rPr>
        <w:t>BPDF-MSC-015</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IQARB 7이 평가한 인정기구(RO)에 대한 사실 진술서(Factual Statements)를 기항국이 활용할 수 있는 목적은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기항국은 관련 IMO 의무 조항(SOLAS 1974, III Code, RO Code 등)에 따른 RO 감독 프로그램의 구성 요소로 해당 사실 진술서를 고려할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IQARB 7이 평가한 인정기구(RO)에 대한 사실 진술서(Factual Statements)는 규제기관, 산업계 및 기항국이 설정한 목표를 충족하는지 확인하기 위한 목적으로 활용될 수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없음 · 답변이 '규제기관 및 산업계의 목표 충족'이라는 모호한 표현을 사용했으며, 골드 원문이 명시한 구체적인 목적(기항국의 RO 감독 프로그램 구성 요소로 활용)을 정확히 기술하지 못했습니다.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111-INF.8 - Issuance of Factual Statements to 12 IACS members by the International Quality Assessment... (Secretariat).pdf · p.1</w:t>
      </w:r>
    </w:p>
    <w:p>
      <w:pPr>
        <w:pStyle w:val="ItemHeading"/>
        <w:shd w:fill="FDECEC"/>
        <w:pBdr>
          <w:left w:val="single" w:sz="18" w:space="8" w:color="9B1C1C"/>
        </w:pBdr>
      </w:pPr>
      <w:r>
        <w:rPr>
          <w:rFonts w:ascii="Calibri" w:hAnsi="Calibri" w:eastAsia="Malgun Gothic"/>
          <w:b/>
          <w:color w:val="1F4D78"/>
          <w:sz w:val="23"/>
        </w:rPr>
        <w:t>BPDF-MSC-016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암모니아 연료 준비실(ammonia fuel preparation room)과 관련하여 일본이 제안한 문구 수정 사항은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2.4.6.2항에서 'the two valves'를 'the two shut-off valves'로 변경할 것을 제안함</w:t>
      </w:r>
    </w:p>
    <w:p>
      <w:pPr>
        <w:pStyle w:val="FieldBody"/>
        <w:ind w:left="202" w:right="86"/>
        <w:shd w:fill="E8EEF5"/>
        <w:pBdr>
          <w:left w:val="single" w:sz="14" w:space="8" w:color="2E74B5"/>
        </w:pBdr>
      </w:pPr>
      <w:r>
        <w:rPr>
          <w:rFonts w:ascii="Calibri" w:hAnsi="Calibri" w:eastAsia="Malgun Gothic"/>
          <w:b w:val="0"/>
          <w:sz w:val="21"/>
        </w:rPr>
        <w:t>암모니아 연료 준비실을 화물 기계 공간(cargo machinery space)으로 간주하므로, IGC Code의 관련 요구사항이 적용되어야 함에 따라 2.5.4.4항을 삭제하고 후속 항을 재번호화할 것을 제안함</w:t>
      </w:r>
    </w:p>
    <w:p>
      <w:pPr>
        <w:pStyle w:val="FieldBody"/>
        <w:ind w:left="202" w:right="86"/>
        <w:shd w:fill="E8EEF5"/>
        <w:pBdr>
          <w:left w:val="single" w:sz="14" w:space="8" w:color="2E74B5"/>
        </w:pBdr>
      </w:pPr>
      <w:r>
        <w:rPr>
          <w:rFonts w:ascii="Calibri" w:hAnsi="Calibri" w:eastAsia="Malgun Gothic"/>
          <w:b w:val="0"/>
          <w:sz w:val="21"/>
        </w:rPr>
        <w:t>2.5.5항의 첫 번째 문장에서 IGC Code 섹션 16.5.2 준수 대신 16.5 준수가 요구됨에 따라 해당 내용을 수정할 것을 제안함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일본은 초안 interim guidelines의 2.5.5항 내 하위 항 .1에 대해 "원격 차단 장치는 IGC Code의 16.5.2에 따라 제공되어야 하며, IGC Code의 16.5.2에 의해 요구되는 원격 차단 장치에 더하여 암모니아 연료 준비실 인근에도 원격 차단 장치가 제공되어야 한다"는 문구로 수정할 것을 제안함. [1][2]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예 · 모순 있음 · 근거 없는 구체 주장 있음 · 답변이 골드 사실에 포함된 세 가지 제안 사항 중 하나도 정확히 기술하지 못했으며, 특히 2.5.5항의 수정 내용에 대해 원문과 전혀 다른 내용을 생성하여 모순을 발생시켰음.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111-14-9 - Editorial modifications to the draft interim guidelines for the safety of ships using hydr... (Japan).pdf · p.2</w:t>
      </w:r>
    </w:p>
    <w:p>
      <w:pPr>
        <w:pStyle w:val="ItemHeading"/>
        <w:shd w:fill="E9F5EE"/>
        <w:pBdr>
          <w:left w:val="single" w:sz="18" w:space="8" w:color="246B46"/>
        </w:pBdr>
      </w:pPr>
      <w:r>
        <w:rPr>
          <w:rFonts w:ascii="Calibri" w:hAnsi="Calibri" w:eastAsia="Malgun Gothic"/>
          <w:b/>
          <w:color w:val="1F4D78"/>
          <w:sz w:val="23"/>
        </w:rPr>
        <w:t>BPDF-MSC-017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111-5-8 문서에 따르면 러시아 연방에서 자율 운항 기술을 위한 법적 프레임워크가 최종 승인된 시점은 언제인가요?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러시아 연방의 자율 운항 기술 관련 법적 프레임워크는 2024년에 시행을 위해 승인되었습니다.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러시아 연방에서 자율 운항 기술 사용을 위한 법적 프레임워크는 2024년에 최종 승인되었습니다.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새롭게 도입된 법령에는 여러 연방 법률의 개정 및 여러 새로운 정부 명령과 명령(orders)의 공표가 포함되어 있습니다. [1]</w:t>
      </w:r>
    </w:p>
    <w:p>
      <w:pPr>
        <w:pStyle w:val="AnswerBody"/>
        <w:shd w:fill="F4F6F9"/>
        <w:numPr>
          <w:ilvl w:val="0"/>
          <w:numId w:val="10"/>
        </w:numPr>
      </w:pPr>
      <w:r>
        <w:rPr>
          <w:rFonts w:ascii="Calibri" w:hAnsi="Calibri" w:eastAsia="Malgun Gothic"/>
          <w:b w:val="0"/>
          <w:sz w:val="19"/>
        </w:rPr>
        <w:t>총 5개의 기존 연방 법률 및 법전이 수정되었으며, 4개의 정부 명령, 12개의 교통부 명령, 2개의 연방 세무국 명령이 제시되었습니다. [1]</w:t>
      </w:r>
    </w:p>
    <w:p>
      <w:pPr>
        <w:pStyle w:val="AnswerBody"/>
        <w:shd w:fill="F4F6F9"/>
        <w:numPr>
          <w:ilvl w:val="0"/>
          <w:numId w:val="10"/>
        </w:numPr>
      </w:pPr>
      <w:r>
        <w:rPr>
          <w:rFonts w:ascii="Calibri" w:hAnsi="Calibri" w:eastAsia="Malgun Gothic"/>
          <w:b w:val="0"/>
          <w:sz w:val="19"/>
        </w:rPr>
        <w:t>정부 명령과 교통부 명령은 추가 검토를 포함하여 5년 동안 발행되며, 2030년까지 효력이 유지됩니다.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111-5-8 - Outcomes of MASS developments in the Russian Federation (Russian Federation).pdf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'2024년 승인'을 정확히 포함하고 있으며, 추가적인 세부 수치들도 원문과 일치하게 기술하였습니다.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111-5-8 - Outcomes of MASS developments in the Russian Federation (Russian Federation).pdf · p.2</w:t>
      </w:r>
    </w:p>
    <w:p>
      <w:pPr>
        <w:pStyle w:val="ItemHeading"/>
        <w:shd w:fill="E9F5EE"/>
        <w:pBdr>
          <w:left w:val="single" w:sz="18" w:space="8" w:color="246B46"/>
        </w:pBdr>
      </w:pPr>
      <w:r>
        <w:rPr>
          <w:rFonts w:ascii="Calibri" w:hAnsi="Calibri" w:eastAsia="Malgun Gothic"/>
          <w:b/>
          <w:color w:val="1F4D78"/>
          <w:sz w:val="23"/>
        </w:rPr>
        <w:t>BPDF-MSC-018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BKI가 제출한 시정 조치 계획을 검토한 후 MSC 위원회는 어떤 조건 하에 BKI의 정보가 표준을 준수하는 것으로 확인했습니까?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BKI가 '부적합(non-conformities)' 사항을 시정하기 위한 관련 조치를 채택하고 새로운 감사 요청을 제출하는 조건으로 준수 여부를 확인했습니다.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MSC 위원회는 BKI가 제출한 시정 조치 계획을 검토한 후, BKI가 "부적합(non-conformities, NC)" 사항을 시정하기 위한 관련 조치를 채택하고 새로운 심사 요청을 제출한다는 조건 하에 BKI의 정보가 표준을 준수하는 것으로 확인했습니다.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'부적합 사항 시정 조치 채택' 및 '새로운 심사 요청 제출'이라는 두 가지 핵심 조건을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111-4 - GBS rectification audit report of Biro Klasifikasi Indonesia (BKI) (Secretary-General).pdf · p.5, 6</w:t>
      </w:r>
    </w:p>
    <w:p>
      <w:pPr>
        <w:pStyle w:val="ItemHeading"/>
        <w:shd w:fill="FDECEC"/>
        <w:pBdr>
          <w:left w:val="single" w:sz="18" w:space="8" w:color="9B1C1C"/>
        </w:pBdr>
      </w:pPr>
      <w:r>
        <w:rPr>
          <w:rFonts w:ascii="Calibri" w:hAnsi="Calibri" w:eastAsia="Malgun Gothic"/>
          <w:b/>
          <w:color w:val="1F4D78"/>
          <w:sz w:val="23"/>
        </w:rPr>
        <w:t>BPDF-MSC-019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111-14-12 문서에 따르면, 갑판 화물 및 컨테이너를 운송하는 선박의 연료 및 오일 필터 세척과 정비를 위해 엔진을 정지하지 않고 수행할 수 있도록 설계해야 한다는 요구사항이 SOLAS 규정 II-1/27에 추가될 가능성이 언급되었나요?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향후 SOLAS 규정 II-1/27을 개정하여 갑판 화물 및 컨테이너를 운송하는 선박의 연료 및 오일 시스템이 엔진 정지 없이 필터 세척 및 정비가 가능하도록 설계되어야 한다는 요구사항을 포함하는 방안이 고려될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MSC 111-14-12 문서에 따르면, 많은 선급 규칙(rules)이 엔진을 정지하지 않고 연료 및 오일 필터를 세척하고 정비할 수 있는 가능성을 보장하기 위한 요구사항을 포함하고 있으나, 이를 보장하는 범용적인 요구사항은 존재하지 않으며 이로 인해 많은 선박이 해당 장치를 갖추지 못하고 있습니다.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엔진 정지 없이 필터 세척 및 정비가 가능하도록 설계되지 않은 경우, 오일 필터 막힘으로 인해 메인 엔진을 일시적으로 정지해야 할 수 있으며, 이로 인한 추진력 상실 시 거친 해상 상태에서 선박이 심한 동적 롤링과 리스팅에 노출될 수 있습니다. [2]</w:t>
      </w:r>
    </w:p>
    <w:p>
      <w:pPr>
        <w:pStyle w:val="AnswerBody"/>
        <w:shd w:fill="F4F6F9"/>
        <w:numPr>
          <w:ilvl w:val="0"/>
          <w:numId w:val="10"/>
        </w:numPr>
      </w:pPr>
      <w:r>
        <w:rPr>
          <w:rFonts w:ascii="Calibri" w:hAnsi="Calibri" w:eastAsia="Malgun Gothic"/>
          <w:b w:val="0"/>
          <w:sz w:val="19"/>
        </w:rPr>
        <w:t>이러한 상황은 갑판 화물 및 컨테이너의 유실로 이어질 수 있습니다. [1],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 (SOLAS 규정 II-1/27에 해당 내용이 추가될 가능성에 대한 구체적인 언급은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111-14-12 - Comments on the report of the eleventh session of the CCC Sub-Committee (Russian Federation).pdf [1],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아니오 · 모순 없음 · 근거 없는 구체 주장 없음 · 질문은 SOLAS 규정 II-1/27 개정 가능성에 대한 언급 여부를 물었으나, 답변에서는 해당 내용을 '확인되지 않음'으로 처리하여 핵심 정보를 누락함. 골드 원문 13페이지에 관련 내용이 명시되어 있음에도 불구하고 잘못된 판단을 내림.</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111-14-12 - Comments on the report of the eleventh session of the CCC Sub-Committee (Russian Federation).pdf · p.2, 3</w:t>
      </w:r>
    </w:p>
    <w:p>
      <w:pPr>
        <w:pStyle w:val="ItemHeading"/>
        <w:shd w:fill="E9F5EE"/>
        <w:pBdr>
          <w:left w:val="single" w:sz="18" w:space="8" w:color="246B46"/>
        </w:pBdr>
      </w:pPr>
      <w:r>
        <w:rPr>
          <w:rFonts w:ascii="Calibri" w:hAnsi="Calibri" w:eastAsia="Malgun Gothic"/>
          <w:b/>
          <w:color w:val="1F4D78"/>
          <w:sz w:val="23"/>
        </w:rPr>
        <w:t>BPDF-MSC-020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111-19-1 문서에 따르면, 'administrative requirement'의 정의는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행정적 요구사항(administrative requirement)은 결의안 A.1043(27)에 따라 정보 또는 데이터를 제공하거나 보유해야 하는 의무적인 IMO 문서에서 발생하는 의무로 정의됩니다.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MSC 111-19-1 문서에서 'administrative requirement'는 resolution A.1043(27)에 따라, 정보 또는 데이터를 제공하거나 유지해야 하는 의무적인 IMO 문구(mandatory IMO instrument)로부터 발생하는 의무로 정의됩니다.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MSC 111-19-1 [1],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원문의 정의를 정확하게 추출하였으며, 핵심 요소인 'resolution A.1043(27)', '정보/데이터 제공 및 보유', '의무적 IMO 문서'를 모두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111-19-1 - Proposal for a new output to amend paragraph 3.5.4 andtable 19.1 of SOLAS regulation II-21... (United Kingdom and IACS).pdf · p.9</w:t>
      </w:r>
    </w:p>
    <w:p>
      <w:pPr>
        <w:pStyle w:val="ItemHeading"/>
        <w:shd w:fill="E9F5EE"/>
        <w:pBdr>
          <w:left w:val="single" w:sz="18" w:space="8" w:color="246B46"/>
        </w:pBdr>
      </w:pPr>
      <w:r>
        <w:rPr>
          <w:rFonts w:ascii="Calibri" w:hAnsi="Calibri" w:eastAsia="Malgun Gothic"/>
          <w:b/>
          <w:color w:val="1F4D78"/>
          <w:sz w:val="23"/>
        </w:rPr>
        <w:t>BPDF-MSC-021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아드리아해(Adriatic Sea) 의무 선박 보고 시스템(ADRIREP) 개정안에 추가로 포함될 것을 요청한 이탈리아 연안 시설은 어디인가요?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Ravenna Coast Guard</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이탈리아 연안 시설 중 'Ravenna Coast Guard'가 기존에 승인된 초안에 포함된 연안 시설들 사이에 추가될 것을 요청받았습니다.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사실인 'Ravenna Coast Guard'를 정확하게 추출하였으며, 질문의 핵심 내용을 누락 없이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111-15-1-Rev.1 - Proposed modification to the draft revised mandatory ship reporting system In the Adriati... (Italy and Montenegro).pdf · p.1, 2</w:t>
      </w:r>
    </w:p>
    <w:p>
      <w:pPr>
        <w:pStyle w:val="ItemHeading"/>
        <w:shd w:fill="E9F5EE"/>
        <w:pBdr>
          <w:left w:val="single" w:sz="18" w:space="8" w:color="246B46"/>
        </w:pBdr>
      </w:pPr>
      <w:r>
        <w:rPr>
          <w:rFonts w:ascii="Calibri" w:hAnsi="Calibri" w:eastAsia="Malgun Gothic"/>
          <w:b/>
          <w:color w:val="1F4D78"/>
          <w:sz w:val="23"/>
        </w:rPr>
        <w:t>BPDF-MSC-022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MSC 회의자료에 따르면, MASS EBP에서 '증거(evidence)'라는 용어는 어떤 데이터나 연구를 포함하는 것으로 제안되고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증거(evidence)는 모든 이해관계자로부터 얻은 데이터, 연구 및 경험을 포함하는 것으로 제안됩니다.</w:t>
      </w:r>
    </w:p>
    <w:p>
      <w:pPr>
        <w:pStyle w:val="FieldBody"/>
        <w:ind w:left="202" w:right="86"/>
        <w:shd w:fill="E8EEF5"/>
        <w:pBdr>
          <w:left w:val="single" w:sz="14" w:space="8" w:color="2E74B5"/>
        </w:pBdr>
      </w:pPr>
      <w:r>
        <w:rPr>
          <w:rFonts w:ascii="Calibri" w:hAnsi="Calibri" w:eastAsia="Malgun Gothic"/>
          <w:b w:val="0"/>
          <w:sz w:val="21"/>
        </w:rPr>
        <w:t>증거 수집 및 공유는 운영 관행, 운영 테스트 및 시험, 시뮬레이션, 실험실 기반 테스트 또는 학술적 이론 연구로부터 도출될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'증거(evidence)'라는 용어는 모든 이해관계자로부터 얻은 데이터, 연구 및 경험을 포함하는 것으로 제안됩니다. [1]</w:t>
      </w:r>
    </w:p>
    <w:p>
      <w:pPr>
        <w:pStyle w:val="AnswerBody"/>
        <w:shd w:fill="F4F6F9"/>
        <w:numPr>
          <w:ilvl w:val="0"/>
          <w:numId w:val="10"/>
        </w:numPr>
      </w:pPr>
      <w:r>
        <w:rPr>
          <w:rFonts w:ascii="Calibri" w:hAnsi="Calibri" w:eastAsia="Malgun Gothic"/>
          <w:b w:val="0"/>
          <w:sz w:val="19"/>
        </w:rPr>
        <w:t>증거 수집 및 공유된 경험은 운항 관행, 운항 테스트 및 시험, 시뮬레이션 및 실험실 기반 테스트, 또는 학술적 이론 연구에서 도출될 수 있는 것으로 제안됩니다.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검색 근거에서 확인되지 않음</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사실에 명시된 '증거'의 정의와 출처(데이터, 연구, 경험 및 구체적인 도출 경로)를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MSC 111-5-7 - Development of the experience-building phase (Norway, Spain, United Ara...).pdf · p.5</w:t>
      </w:r>
    </w:p>
    <w:p>
      <w:pPr>
        <w:pStyle w:val="Heading2"/>
      </w:pPr>
      <w:r>
        <w:t>KR · 18문항 (정답 9 / 실패 4 / 보류 5)</w:t>
      </w:r>
    </w:p>
    <w:p>
      <w:pPr>
        <w:pStyle w:val="ItemHeading"/>
        <w:shd w:fill="FDECEC"/>
        <w:pBdr>
          <w:left w:val="single" w:sz="18" w:space="8" w:color="9B1C1C"/>
        </w:pBdr>
      </w:pPr>
      <w:r>
        <w:rPr>
          <w:rFonts w:ascii="Calibri" w:hAnsi="Calibri" w:eastAsia="Malgun Gothic"/>
          <w:b/>
          <w:color w:val="1F4D78"/>
          <w:sz w:val="23"/>
        </w:rPr>
        <w:t>BPDF-KR-001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선급부호 안내서_2025.pdf에 따르면, BC-A에 적합하며 최대화물밀도가 3.0t/m3 미만인 경우의 선급부호는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BC-A(Hold Nos. 2, 4, 6 &amp; 8 may be empty, with max cargo density --- t/m3)</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1편_2025도 검색되었으나, 관련 키워드는 있으나 확정 Rule로 단정하기엔 근거·적용 범위 확인 필요.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[추가 확인 필요] 1편_2025 외 유사 후보: 1편_2025는 적용 범위 확인이 필요한 후보입니다. [1]</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sz w:val="19"/>
        </w:rPr>
        <w:t>1편_2025.pdf</w:t>
      </w:r>
      <w:r>
        <w:rPr>
          <w:rFonts w:ascii="Calibri" w:hAnsi="Calibri" w:eastAsia="Malgun Gothic"/>
          <w:b w:val="0"/>
          <w:sz w:val="19"/>
        </w:rPr>
        <w:t>, p.221, clause 2: 질문의 기술 주제와 직접 연결되는 요구사항입니다.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질문에 대한 직접적인 답변(BC-A(Hold Nos. 2, 4, 6 &amp; 8 may be empty, with max cargo density --- t/m3))을 제공하지 못하고 모호한 답변만 출력함.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선급부호 안내서_2025.pdf · p.50</w:t>
      </w:r>
    </w:p>
    <w:p>
      <w:pPr>
        <w:pStyle w:val="ItemHeading"/>
        <w:shd w:fill="E9F5EE"/>
        <w:pBdr>
          <w:left w:val="single" w:sz="18" w:space="8" w:color="246B46"/>
        </w:pBdr>
      </w:pPr>
      <w:r>
        <w:rPr>
          <w:rFonts w:ascii="Calibri" w:hAnsi="Calibri" w:eastAsia="Malgun Gothic"/>
          <w:b/>
          <w:color w:val="1F4D78"/>
          <w:sz w:val="23"/>
        </w:rPr>
        <w:t>BPDF-KR-002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따라 건현용 길이가 150m 이상인 산적화물선이 화물밀도가 1.0 t/m³ 미만의 산적 건화물을 운송하도록 설계된 경우 어떤 용도상의 특기사항을 부여받습니까?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화물밀도가 1.0 t/m³ 미만의 산적 건화물을 운송하도록 설계된 산적화물선에 특기사항 BC-C를 부여한다.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건현용 길이가 150m 이상인 산적화물선으로, 화물밀도가 1.0 t/m³ 미만의 산적 건화물을 운송하도록 설계된 경우 용도상의 특기사항 BC-C를 부여받는다.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조건에 부합하는 선박은 설계 시 적용된 설계 하중조건의 결과에 따라 운항 중에 준수되어야 할 제한사항들에 대한 상세 설명을 위해 추가적인 용도상의 특기사항을 부기해야 한다. [1], [2]</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KR 13편_2025.pdf (조항 3.2.1) [1],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질문에서 요구한 'BC-C' 부여 조건과 수치(150m 이상, 1.0 t/m³ 미만)를 정확하게 답변하였으며, 추가적인 상세 설명 부기 의무 등 원문의 핵심 내용을 충실히 포함함.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13편_2025.pdf · p.14</w:t>
      </w:r>
    </w:p>
    <w:p>
      <w:pPr>
        <w:pStyle w:val="ItemHeading"/>
        <w:shd w:fill="E9F5EE"/>
        <w:pBdr>
          <w:left w:val="single" w:sz="18" w:space="8" w:color="246B46"/>
        </w:pBdr>
      </w:pPr>
      <w:r>
        <w:rPr>
          <w:rFonts w:ascii="Calibri" w:hAnsi="Calibri" w:eastAsia="Malgun Gothic"/>
          <w:b/>
          <w:color w:val="1F4D78"/>
          <w:sz w:val="23"/>
        </w:rPr>
        <w:t>BPDF-KR-003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따라 휘핑 현상을 고려한 극한하중 산정 시 사용하는 프로그램은 어떠해야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휘핑을 고려한 극한하중의 산정을 위해 사용되는 프로그램은 우리 선급이 인정하는 것이어야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휘핑 현상을 고려한 극한하중의 산정을 위해 사용되는 프로그램은 KR이 인정하는 것이어야 한다.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Circular (K) Total_2026.pdf [1],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사실(선급 인정 프로그램 사용)을 정확하게 포함하고 있으며, 질문에 대한 핵심 내용을 충실히 반영함. 인용 문서가 다르나 내용 자체는 사실과 일치함.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휘핑을 고려한 컨테이너선의 강도평가 지침_2024.pdf · p.5</w:t>
      </w:r>
    </w:p>
    <w:p>
      <w:pPr>
        <w:pStyle w:val="ItemHeading"/>
        <w:shd w:fill="FFF6DA"/>
        <w:pBdr>
          <w:left w:val="single" w:sz="18" w:space="8" w:color="7A5A00"/>
        </w:pBdr>
      </w:pPr>
      <w:r>
        <w:rPr>
          <w:rFonts w:ascii="Calibri" w:hAnsi="Calibri" w:eastAsia="Malgun Gothic"/>
          <w:b/>
          <w:color w:val="1F4D78"/>
          <w:sz w:val="23"/>
        </w:rPr>
        <w:t>BPDF-KR-004</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펌프타워 구조의 유한 요소 해석 시 모델링과 경계조건 설정에 대해 어떤 사항을 고려해야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펌프타워 구조는 판, 쉘(shell) 혹은 보 요소 등을 사용하여 적절하게 모델링해야 하며, 상부 끝단과 하부 끝단의 경계조건을 특별히 고려해야 한다.</w:t>
      </w:r>
    </w:p>
    <w:p>
      <w:pPr>
        <w:pStyle w:val="FieldBody"/>
        <w:ind w:left="202" w:right="86"/>
        <w:shd w:fill="E8EEF5"/>
        <w:pBdr>
          <w:left w:val="single" w:sz="14" w:space="8" w:color="2E74B5"/>
        </w:pBdr>
      </w:pPr>
      <w:r>
        <w:rPr>
          <w:rFonts w:ascii="Calibri" w:hAnsi="Calibri" w:eastAsia="Malgun Gothic"/>
          <w:b w:val="0"/>
          <w:sz w:val="21"/>
        </w:rPr>
        <w:t>상부의 리퀴드 돔 구조를 구조 모델에 포함하여 상부 경계 조건을 정확하게 정의해야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펌프타워 상부의 리퀴드 돔 구조를 구조 모델에 포함하여 상부 경계 조건을 정확하게 정의해야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액화천연가스 운반선 펌프타워 구조강도평가 지침_2017.pdf (조항 203)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상부 경계 조건에 대한 내용은 정확히 포함하였으나, 골드 사실의 핵심 요소인 '판, 쉘 또는 보 요소 활용' 및 '하부 끝단의 경계조건 고려' 사항이 누락됨.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액화천연가스 운반선 펌프타워 구조강도평가 지침_2017.pdf · p.4, 5</w:t>
      </w:r>
    </w:p>
    <w:p>
      <w:pPr>
        <w:pStyle w:val="ItemHeading"/>
        <w:shd w:fill="E9F5EE"/>
        <w:pBdr>
          <w:left w:val="single" w:sz="18" w:space="8" w:color="246B46"/>
        </w:pBdr>
      </w:pPr>
      <w:r>
        <w:rPr>
          <w:rFonts w:ascii="Calibri" w:hAnsi="Calibri" w:eastAsia="Malgun Gothic"/>
          <w:b/>
          <w:color w:val="1F4D78"/>
          <w:sz w:val="23"/>
        </w:rPr>
        <w:t>BPDF-KR-005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내부 갑판으로 분할된 특수 구역 또는 Ro-Ro 공간에서 고정식 수계 소화설비가 해당 갑판의 상부와 하부 영역을 동시에 커버할 수 없는 경우, 해당 갑판의 내화 등급과 램프 및 도어의 재질 및 설계 요건은 어떻게 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고정식 수계 소화설비가 상부와 하부를 동시에 커버할 수 있어야 하는 경우를 제외하고, 이를 수행할 수 없는 경우 해당 갑판은 'A-30' 등급이어야 한다.</w:t>
      </w:r>
    </w:p>
    <w:p>
      <w:pPr>
        <w:pStyle w:val="FieldBody"/>
        <w:ind w:left="202" w:right="86"/>
        <w:shd w:fill="E8EEF5"/>
        <w:pBdr>
          <w:left w:val="single" w:sz="14" w:space="8" w:color="2E74B5"/>
        </w:pBdr>
      </w:pPr>
      <w:r>
        <w:rPr>
          <w:rFonts w:ascii="Calibri" w:hAnsi="Calibri" w:eastAsia="Malgun Gothic"/>
          <w:b w:val="0"/>
          <w:sz w:val="21"/>
        </w:rPr>
        <w:t>해당 상황에서 갑판 사이의 램프와 도어는 강철(steel)로 제작되어야 하며, 실무적으로 가능한 한 견고하게 설계되어야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이러한 상황에서 갑판 사이의 램프와 문은 강재로 제작되어야 하며, 가능한 한 밀폐되도록 설계되어야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해당 조건에 부합하는 경우, 설계를 검토할 때 갑판의 방열 등급을 A-30으로 설정하고 관련 문 및 램프를 강재 재질로 채택해야 한다. [1]</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Circular (K) Total_2026.pdf, 로로구역 및 특수분류구역의 개구부 배치 (2026), 2.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'A-30' 등급과 '강철(steel) 재질 및 견고한 설계' 요건을 정확하게 포함하고 있으며 질문의 핵심 내용을 모두 충족함.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Circular (K) Total_2026.pdf · p.255</w:t>
      </w:r>
    </w:p>
    <w:p>
      <w:pPr>
        <w:pStyle w:val="ItemHeading"/>
        <w:shd w:fill="FDECEC"/>
        <w:pBdr>
          <w:left w:val="single" w:sz="18" w:space="8" w:color="9B1C1C"/>
        </w:pBdr>
      </w:pPr>
      <w:r>
        <w:rPr>
          <w:rFonts w:ascii="Calibri" w:hAnsi="Calibri" w:eastAsia="Malgun Gothic"/>
          <w:b/>
          <w:color w:val="1F4D78"/>
          <w:sz w:val="23"/>
        </w:rPr>
        <w:t>BPDF-KR-006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복합재료 프로펠러의 공장조사를 생략할 수 있는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과거에 우리 선급의 승인을 받은 제품으로서 동일한 설비 및 동일한 방법으로 제조되는 경우 공장조사를 생략할 수 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동일한 제조방법에 같은 구조를 가진 KR(한국선급)의 제조법 승인을 받은 것보다 직경이 작은 복합재료 프로펠러의 경우, 제조법 승인(공장조사 포함 절차 등)을 생략할 수 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복합재료 프로펠러 지침_2021.pdf (조항 101)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예 · 모순 있음 · 근거 없는 구체 주장 있음 · 실제 답변은 '직경이 작은 경우'라는 원문에 없는 조건을 추가하였으며, 골드 사실(동일 설비 및 동일 방법)과 전혀 다른 내용을 기술하여 모순됨.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복합재료 프로펠러 지침_2021.pdf · p.6, 7</w:t>
      </w:r>
    </w:p>
    <w:p>
      <w:pPr>
        <w:pStyle w:val="ItemHeading"/>
        <w:shd w:fill="E9F5EE"/>
        <w:pBdr>
          <w:left w:val="single" w:sz="18" w:space="8" w:color="246B46"/>
        </w:pBdr>
      </w:pPr>
      <w:r>
        <w:rPr>
          <w:rFonts w:ascii="Calibri" w:hAnsi="Calibri" w:eastAsia="Malgun Gothic"/>
          <w:b/>
          <w:color w:val="1F4D78"/>
          <w:sz w:val="23"/>
        </w:rPr>
        <w:t>BPDF-KR-007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금속제 의장품을 부착할 때 적층품의 손상을 방지하기 위해 사용하는 와셔의 규격과 재료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와셔의 바깥지름은 2.25 d 이상, 두께는 0.1 d 이상이어야 하며 여기서 d는 볼트 등의 지름을 의미한다.</w:t>
      </w:r>
    </w:p>
    <w:p>
      <w:pPr>
        <w:pStyle w:val="FieldBody"/>
        <w:ind w:left="202" w:right="86"/>
        <w:shd w:fill="E8EEF5"/>
        <w:pBdr>
          <w:left w:val="single" w:sz="14" w:space="8" w:color="2E74B5"/>
        </w:pBdr>
      </w:pPr>
      <w:r>
        <w:rPr>
          <w:rFonts w:ascii="Calibri" w:hAnsi="Calibri" w:eastAsia="Malgun Gothic"/>
          <w:b w:val="0"/>
          <w:sz w:val="21"/>
        </w:rPr>
        <w:t>와셔의 재료는 볼트 등과 같은 것이어야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볼트 등으로 적층품을 관통하여 의장품을 부착시키는 경우, 적층품의 손상을 피하기 위해 지름이 크고 두꺼운 와셔를 사용해야 한다. [1]</w:t>
      </w:r>
    </w:p>
    <w:p>
      <w:pPr>
        <w:pStyle w:val="AnswerBody"/>
        <w:shd w:fill="F4F6F9"/>
        <w:numPr>
          <w:ilvl w:val="0"/>
          <w:numId w:val="10"/>
        </w:numPr>
      </w:pPr>
      <w:r>
        <w:rPr>
          <w:rFonts w:ascii="Calibri" w:hAnsi="Calibri" w:eastAsia="Malgun Gothic"/>
          <w:b w:val="0"/>
          <w:sz w:val="19"/>
        </w:rPr>
        <w:t>와셔의 바깥지름은 2.25 $\phi$ 이상이어야 하며, 여기서 $\phi$는 볼트 등의 지름을 의미한다. [1]</w:t>
      </w:r>
    </w:p>
    <w:p>
      <w:pPr>
        <w:pStyle w:val="AnswerBody"/>
        <w:shd w:fill="F4F6F9"/>
        <w:numPr>
          <w:ilvl w:val="0"/>
          <w:numId w:val="10"/>
        </w:numPr>
      </w:pPr>
      <w:r>
        <w:rPr>
          <w:rFonts w:ascii="Calibri" w:hAnsi="Calibri" w:eastAsia="Malgun Gothic"/>
          <w:b w:val="0"/>
          <w:sz w:val="19"/>
        </w:rPr>
        <w:t>와셔의 두께는 0.1 $\phi$ 이상이어야 한다. [1]</w:t>
      </w:r>
    </w:p>
    <w:p>
      <w:pPr>
        <w:pStyle w:val="AnswerBody"/>
        <w:shd w:fill="F4F6F9"/>
        <w:numPr>
          <w:ilvl w:val="0"/>
          <w:numId w:val="10"/>
        </w:numPr>
      </w:pPr>
      <w:r>
        <w:rPr>
          <w:rFonts w:ascii="Calibri" w:hAnsi="Calibri" w:eastAsia="Malgun Gothic"/>
          <w:b w:val="0"/>
          <w:sz w:val="19"/>
        </w:rPr>
        <w:t>와셔의 재료는 볼트 등의 것과 같은 것이어야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FRP선 규칙_2020, 조항 605 (금속제 의장품의 부착)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와셔의 바깥지름(2.25 d), 두께(0.1 d), 재료 조건(볼트 등과 동일) 등 골드 사실에 명시된 모든 수치와 조건을 정확하게 답변에 포함하였습니다.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FRP선 규칙_2020.pdf · p.30, 31</w:t>
      </w:r>
    </w:p>
    <w:p>
      <w:pPr>
        <w:pStyle w:val="ItemHeading"/>
        <w:shd w:fill="FFF6DA"/>
        <w:pBdr>
          <w:left w:val="single" w:sz="18" w:space="8" w:color="7A5A00"/>
        </w:pBdr>
      </w:pPr>
      <w:r>
        <w:rPr>
          <w:rFonts w:ascii="Calibri" w:hAnsi="Calibri" w:eastAsia="Malgun Gothic"/>
          <w:b/>
          <w:color w:val="1F4D78"/>
          <w:sz w:val="23"/>
        </w:rPr>
        <w:t>BPDF-KR-008</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부유식 해상구조물에 설치하는 비상전원은 어떤 요건을 갖추어야 하며, 구체적으로 어느 장치들에 대해 최소 몇 시간 이상 급전이 가능해야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비상전원은 항상 필요한 전력이 충전되어 있는 축전지(방전지시기가 설치된 것) 또는 인화점이 섭씨 43도 이상의 연료유를 사용하는 원동기로 구동되는 발전기 중 하나여야 하며, 주전원 상실 시 자동 급전이 가능해야 한다.</w:t>
      </w:r>
    </w:p>
    <w:p>
      <w:pPr>
        <w:pStyle w:val="FieldBody"/>
        <w:ind w:left="202" w:right="86"/>
        <w:shd w:fill="E8EEF5"/>
        <w:pBdr>
          <w:left w:val="single" w:sz="14" w:space="8" w:color="2E74B5"/>
        </w:pBdr>
      </w:pPr>
      <w:r>
        <w:rPr>
          <w:rFonts w:ascii="Calibri" w:hAnsi="Calibri" w:eastAsia="Malgun Gothic"/>
          <w:b w:val="0"/>
          <w:sz w:val="21"/>
        </w:rPr>
        <w:t>비상전원은 정박등, 비상조명장치(복도, 계단, 사다리 및 출입구 등), 전기식 경보장치 및 지시기, 화재탐지장치 및 수동화재경보장치, 통화장치, 소화펌프, 자동스프링클러장치, 엘리베이터에 대해 적어도 6시간 이상 급전할 수 있어야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부유식 해상구조물에는 다음 중 어느 하나의 요건에 적합한 독립된 비상전원을 설치해야 한다: (1) 항상 필요한 전력이 충전되어 있는 축전지(방전제시기가 설치된 것)로서 과도하게 전압이 강하되는 일이 없이 급전할 수 있는 것, 또는 (2) 독립된 급유장치 및 선급이 적절하다고 인정하는 기동장치를 갖춘 유효한 원동기(인화점이 섭씨 43도 이상인 연료유를 사용하는 것에 한함)에 의해 구동되는 발전기.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부유식 해상구조물 기준_2024.pdf (KR)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1/4 · 직접응답 예 · 모순 없음 · 근거 없는 구체 주장 없음 · 비상전원의 요건(축전지 또는 발전기)에 대해서는 정확히 기술하였으나, 질문의 핵심인 '어떤 장치들에 대해 최소 몇 시간 이상 급전이 가능해야 하는가'에 대한 답변이 완전히 누락되었습니다.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부유식 해상구조물 기준_2024.pdf · p.15</w:t>
      </w:r>
    </w:p>
    <w:p>
      <w:pPr>
        <w:pStyle w:val="ItemHeading"/>
        <w:shd w:fill="E9F5EE"/>
        <w:pBdr>
          <w:left w:val="single" w:sz="18" w:space="8" w:color="246B46"/>
        </w:pBdr>
      </w:pPr>
      <w:r>
        <w:rPr>
          <w:rFonts w:ascii="Calibri" w:hAnsi="Calibri" w:eastAsia="Malgun Gothic"/>
          <w:b/>
          <w:color w:val="1F4D78"/>
          <w:sz w:val="23"/>
        </w:rPr>
        <w:t>BPDF-KR-009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부유식 생산구조물 지침에 따르면, 작동압력이 0.1 MPa 이하인 간접 연소방식의 목욕실온수가열기는 어떤 규격에 적합하게 설계 및 제작되어야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0.1 MPa 이하의 작동압력을 가진 간접 연소방식의 목욕실온수가열기는 「API Spec. 12K」에 적합하게 설계 및 제작되어야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작동압력이 0.1 MPa 이하인 간접 연소방식의 목욕실온수가열기는 「API Spec. 12K」에 적합하게 설계 및 제작되어야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부유식 생산구조물 지침_2023.pdf (조항 304)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규격(API Spec. 12K)과 조건(0.1 MPa 이하, 간접 연소방식 등)을 정확하게 포함하고 있으며, 관련 조항도 올바르게 인용함.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부유식 생산구조물 지침_2023.pdf · p.96, 97</w:t>
      </w:r>
    </w:p>
    <w:p>
      <w:pPr>
        <w:pStyle w:val="ItemHeading"/>
        <w:shd w:fill="E9F5EE"/>
        <w:pBdr>
          <w:left w:val="single" w:sz="18" w:space="8" w:color="246B46"/>
        </w:pBdr>
      </w:pPr>
      <w:r>
        <w:rPr>
          <w:rFonts w:ascii="Calibri" w:hAnsi="Calibri" w:eastAsia="Malgun Gothic"/>
          <w:b/>
          <w:color w:val="1F4D78"/>
          <w:sz w:val="23"/>
        </w:rPr>
        <w:t>BPDF-KR-010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6편_2025.pdf의 401절에 따르면, 어떤 컴퓨터기반시스템이 이 절의 요건에서 제외되나요?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법적 규정(statutory regulations)을 적용받는 컴퓨터기반시스템은 이 절의 요건에서 제외된다.</w:t>
      </w:r>
    </w:p>
    <w:p>
      <w:pPr>
        <w:pStyle w:val="FieldBody"/>
        <w:ind w:left="202" w:right="86"/>
        <w:shd w:fill="E8EEF5"/>
        <w:pBdr>
          <w:left w:val="single" w:sz="14" w:space="8" w:color="2E74B5"/>
        </w:pBdr>
      </w:pPr>
      <w:r>
        <w:rPr>
          <w:rFonts w:ascii="Calibri" w:hAnsi="Calibri" w:eastAsia="Malgun Gothic"/>
          <w:b w:val="0"/>
          <w:sz w:val="21"/>
        </w:rPr>
        <w:t>해상인명안전협약(SOLAS) 제5장 및 제4장에서 요구하는 항해시스템 및 무선통신시스템, 선박의 적하지침기기/복원성 컴퓨터는 제외 대상에 포함된다.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법적 규정(statutory regulations)을 적용받는 컴퓨터기반시스템은 이 절의 요건에서 제외됩니다. [1][2][3]</w:t>
      </w:r>
    </w:p>
    <w:p>
      <w:pPr>
        <w:pStyle w:val="AnswerBody"/>
        <w:shd w:fill="F4F6F9"/>
        <w:numPr>
          <w:ilvl w:val="0"/>
          <w:numId w:val="10"/>
        </w:numPr>
      </w:pPr>
      <w:r>
        <w:rPr>
          <w:rFonts w:ascii="Calibri" w:hAnsi="Calibri" w:eastAsia="Malgun Gothic"/>
          <w:b w:val="0"/>
          <w:sz w:val="19"/>
        </w:rPr>
        <w:t>이러한 시스템의 예시로는 해상인명안전협약(SOLAS) 제5장 및 제4장에서 요구하는 항해시스템 및 무선통신시스템, 선박의 적하지침 기기/복원성 컴퓨터가 포함됩니다.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sz w:val="19"/>
        </w:rPr>
        <w:t>6편_2025.pdf</w:t>
      </w:r>
      <w:r>
        <w:rPr>
          <w:rFonts w:ascii="Calibri" w:hAnsi="Calibri" w:eastAsia="Malgun Gothic"/>
          <w:b w:val="0"/>
          <w:sz w:val="19"/>
        </w:rPr>
        <w:t>, p.88, clause 401: 질문의 기술 주제와 직접 연결되는 요구사항입니다.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법적 규정 적용 시스템 및 구체적인 예시(SOLAS 관련 시스템 등)를 정확하게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6편_2025.pdf · p.87, 88</w:t>
      </w:r>
    </w:p>
    <w:p>
      <w:pPr>
        <w:pStyle w:val="ItemHeading"/>
        <w:shd w:fill="FFF6DA"/>
        <w:pBdr>
          <w:left w:val="single" w:sz="18" w:space="8" w:color="7A5A00"/>
        </w:pBdr>
      </w:pPr>
      <w:r>
        <w:rPr>
          <w:rFonts w:ascii="Calibri" w:hAnsi="Calibri" w:eastAsia="Malgun Gothic"/>
          <w:b/>
          <w:color w:val="1F4D78"/>
          <w:sz w:val="23"/>
        </w:rPr>
        <w:t>BPDF-KR-011</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화물 및 프로세스용 관장치의 강도시험 시 액체관과 화물증기관의 압력시험 기준은 각각 어떻게 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액체관은 설계압력의 1.5배(시험유체가 압축성인 경우 1.25배)로 압력시험을 해야 한다.</w:t>
      </w:r>
    </w:p>
    <w:p>
      <w:pPr>
        <w:pStyle w:val="FieldBody"/>
        <w:ind w:left="202" w:right="86"/>
        <w:shd w:fill="E8EEF5"/>
        <w:pBdr>
          <w:left w:val="single" w:sz="14" w:space="8" w:color="2E74B5"/>
        </w:pBdr>
      </w:pPr>
      <w:r>
        <w:rPr>
          <w:rFonts w:ascii="Calibri" w:hAnsi="Calibri" w:eastAsia="Malgun Gothic"/>
          <w:b w:val="0"/>
          <w:sz w:val="21"/>
        </w:rPr>
        <w:t>화물증기관은 최대사용압력의 1.5배(시험유체가 압축성인 경우 1.25배)로 압력시험을 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화물증기관은 최대사용압력의 1.5배(시험유체가 압축성인 경우, 최대사용압력의 1.25배)로 압력시험을 하여야 한다.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기술규칙 해석사례집_국문_2022.pdf (조항 513) [1]</w:t>
      </w:r>
    </w:p>
    <w:p>
      <w:pPr>
        <w:pStyle w:val="AnswerBody"/>
        <w:shd w:fill="F4F6F9"/>
        <w:numPr>
          <w:ilvl w:val="0"/>
          <w:numId w:val="10"/>
        </w:numPr>
      </w:pPr>
      <w:r>
        <w:rPr>
          <w:rFonts w:ascii="Calibri" w:hAnsi="Calibri" w:eastAsia="Malgun Gothic"/>
          <w:b w:val="0"/>
          <w:sz w:val="19"/>
        </w:rPr>
        <w:t>7편(5,6장)_2025.pdf (조항 1) [2]</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질문에서 요구한 '액체관'과 '화물증기관' 두 가지에 대한 압력시험 기준을 모두 제시하지 않고 화물증기관에 대해서만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기술규칙 해석사례집_국문_2022.pdf · p.26, 27</w:t>
      </w:r>
    </w:p>
    <w:p>
      <w:pPr>
        <w:pStyle w:val="ItemHeading"/>
        <w:shd w:fill="FDECEC"/>
        <w:pBdr>
          <w:left w:val="single" w:sz="18" w:space="8" w:color="9B1C1C"/>
        </w:pBdr>
      </w:pPr>
      <w:r>
        <w:rPr>
          <w:rFonts w:ascii="Calibri" w:hAnsi="Calibri" w:eastAsia="Malgun Gothic"/>
          <w:b/>
          <w:color w:val="1F4D78"/>
          <w:sz w:val="23"/>
        </w:rPr>
        <w:t>BPDF-KR-012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머드가스 분리기의 머드 배출라인을 통한 가스 유입을 방지하고 확인하기 위해 필요한 장치와 액봉(liquid seal) 트랩의 높이 조건은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압력 및 온도감시, 그리고 특정 높이 이상의 액봉(liquid seal) 트랩을 갖추어야 한다.</w:t>
      </w:r>
    </w:p>
    <w:p>
      <w:pPr>
        <w:pStyle w:val="FieldBody"/>
        <w:ind w:left="202" w:right="86"/>
        <w:shd w:fill="E8EEF5"/>
        <w:pBdr>
          <w:left w:val="single" w:sz="14" w:space="8" w:color="2E74B5"/>
        </w:pBdr>
      </w:pPr>
      <w:r>
        <w:rPr>
          <w:rFonts w:ascii="Calibri" w:hAnsi="Calibri" w:eastAsia="Malgun Gothic"/>
          <w:b w:val="0"/>
          <w:sz w:val="21"/>
        </w:rPr>
        <w:t>일반적 굴착운전상태에서는 3m 이상, 고온고압(103.43 MPa 또는 177 ℃ 이상) 상태에서는 6m 이상의 액봉 트랩을 갖추어야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NoteBody"/>
        <w:shd w:fill="F4F6F9"/>
        <w:pBdr>
          <w:left w:val="single" w:sz="10" w:space="8" w:color="C9D2DE"/>
        </w:pBdr>
      </w:pPr>
      <w:r>
        <w:rPr>
          <w:rFonts w:ascii="Calibri" w:hAnsi="Calibri" w:eastAsia="Malgun Gothic"/>
          <w:b w:val="0"/>
          <w:i/>
          <w:sz w:val="19"/>
        </w:rPr>
        <w:t>검색된 문서에서 질문에 직접 답할 근거를 찾지 못했습니다. 문서명·조항·항목명을 함께 넣어 다시 질문해 주세요.</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답변이 질문에 대한 정보를 전혀 제공하지 못하고 검색 결과가 없다고 답변하였으나, 골드 원문(5.9)에 명확한 수치와 조건이 포함되어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이동식 해양굴착구조물 규칙_2023.pdf · p.157, 158</w:t>
      </w:r>
    </w:p>
    <w:p>
      <w:pPr>
        <w:pStyle w:val="ItemHeading"/>
        <w:shd w:fill="FFF6DA"/>
        <w:pBdr>
          <w:left w:val="single" w:sz="18" w:space="8" w:color="7A5A00"/>
        </w:pBdr>
      </w:pPr>
      <w:r>
        <w:rPr>
          <w:rFonts w:ascii="Calibri" w:hAnsi="Calibri" w:eastAsia="Malgun Gothic"/>
          <w:b/>
          <w:color w:val="1F4D78"/>
          <w:sz w:val="23"/>
        </w:rPr>
        <w:t>BPDF-KR-013</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고정식 화재탐지 및 화재경보장치용으로 사용되는 가청경보장치의 전원공급은 어떠한 요건을 만족해야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가청경보장치의 전원공급원은 2개 이상이어야 하며, 그 중 1개는 비상전원공급원이어야 한다.</w:t>
      </w:r>
    </w:p>
    <w:p>
      <w:pPr>
        <w:pStyle w:val="FieldBody"/>
        <w:ind w:left="202" w:right="86"/>
        <w:shd w:fill="E8EEF5"/>
        <w:pBdr>
          <w:left w:val="single" w:sz="14" w:space="8" w:color="2E74B5"/>
        </w:pBdr>
      </w:pPr>
      <w:r>
        <w:rPr>
          <w:rFonts w:ascii="Calibri" w:hAnsi="Calibri" w:eastAsia="Malgun Gothic"/>
          <w:b w:val="0"/>
          <w:sz w:val="21"/>
        </w:rPr>
        <w:t>임시비상전원이 요구되는 선박의 가청경보장치는 임시비상전원으로부터도 급전되어야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SOLAS Reg.Ⅱ-1/42 및 43에서 임시비상전원이 요구되는 선박의 가청경보장치는 임시비상전원으로부터도 급 전되어야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8편_2025.pdf, 조항 101 [1]</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2/4 · 직접응답 예 · 모순 없음 · 근거 없는 구체 주장 없음 · 답변이 골드 사실 중 '전원공급원이 2개 이상이어야 하며 그 중 1개는 비상전원이어야 한다'는 핵심 요건을 누락하고 임시비상전원 관련 내용만 포함함.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8편_2025.pdf · p.95</w:t>
      </w:r>
    </w:p>
    <w:p>
      <w:pPr>
        <w:pStyle w:val="ItemHeading"/>
        <w:shd w:fill="E9F5EE"/>
        <w:pBdr>
          <w:left w:val="single" w:sz="18" w:space="8" w:color="246B46"/>
        </w:pBdr>
      </w:pPr>
      <w:r>
        <w:rPr>
          <w:rFonts w:ascii="Calibri" w:hAnsi="Calibri" w:eastAsia="Malgun Gothic"/>
          <w:b/>
          <w:color w:val="1F4D78"/>
          <w:sz w:val="23"/>
        </w:rPr>
        <w:t>BPDF-KR-014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따르면, 간헐적으로 침수가 되는 갑판상의 도선 연결부는 최소 어떤 보호 등급을 충족해야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간헐적으로 침수되는 갑판상의 연결부는 최소 요건으로 IEC 60529에 따른 IP 67 보호 외피 안에 있어야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간헐적으로 침수가 되는 갑판상의 연결부는 최소 요건으로 IEC 60529에 따른 IP 67 보호 외피 안에 있어야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해양레저선박 지침_2018.pdf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IP 67 보호 외피 요건을 정확하게 추출하였으며, 질문에 대한 핵심 내용을 누락 없이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해양레저선박 지침_2018.pdf · p.126, 127</w:t>
      </w:r>
    </w:p>
    <w:p>
      <w:pPr>
        <w:pStyle w:val="ItemHeading"/>
        <w:shd w:fill="FFF6DA"/>
        <w:pBdr>
          <w:left w:val="single" w:sz="18" w:space="8" w:color="7A5A00"/>
        </w:pBdr>
      </w:pPr>
      <w:r>
        <w:rPr>
          <w:rFonts w:ascii="Calibri" w:hAnsi="Calibri" w:eastAsia="Malgun Gothic"/>
          <w:b/>
          <w:color w:val="1F4D78"/>
          <w:sz w:val="23"/>
        </w:rPr>
        <w:t>BPDF-KR-015</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따라, 용설정압력보다 최대 5%까지 높은 압력을 설정하여 증기방출을 최소화할 경우 압력도출밸브의 재료는 어떤 온도 요건을 충족해야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압력도출밸브는 용융점이 925 °C를 넘는 재료로 제작되어야 한다.</w:t>
      </w:r>
    </w:p>
    <w:p>
      <w:pPr>
        <w:pStyle w:val="FieldBody"/>
        <w:ind w:left="202" w:right="86"/>
        <w:shd w:fill="E8EEF5"/>
        <w:pBdr>
          <w:left w:val="single" w:sz="14" w:space="8" w:color="2E74B5"/>
        </w:pBdr>
      </w:pPr>
      <w:r>
        <w:rPr>
          <w:rFonts w:ascii="Calibri" w:hAnsi="Calibri" w:eastAsia="Malgun Gothic"/>
          <w:b w:val="0"/>
          <w:sz w:val="21"/>
        </w:rPr>
        <w:t>고장대비(fail-safe) 작동이 손상되지 않는다면, 내부부품과 밀봉(seal)재료는 용융점이 더 낮은 것을 사용할 수 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압력도출밸브의 고장대비(fail-safe) 작동이 손상되지 않는다면, 내부부품과 밀봉(seal)재료는 용융점이 더 낮은 것을 사용할 수 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저인화점연료선박 규칙_2025.pdf [1]</w:t>
      </w:r>
    </w:p>
    <w:p>
      <w:pPr>
        <w:pStyle w:val="AnswerBody"/>
        <w:shd w:fill="F4F6F9"/>
        <w:numPr>
          <w:ilvl w:val="0"/>
          <w:numId w:val="10"/>
        </w:numPr>
      </w:pPr>
      <w:r>
        <w:rPr>
          <w:rFonts w:ascii="Calibri" w:hAnsi="Calibri" w:eastAsia="Malgun Gothic"/>
          <w:b w:val="0"/>
          <w:sz w:val="19"/>
        </w:rPr>
        <w:t>Circular (K) Total_2026.pdf [2]</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정확성 2/4 · 완전성 1/4 · 직접응답 예 · 모순 없음 · 근거 없는 구체 주장 없음 · 답변이 예외 조항(내부부품 및 밀봉재료)에 대해서만 언급하고 있으며, 질문의 핵심인 '용융점이 925 °C를 넘는 재료'라는 기본 요건을 누락하였습니다.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저인화점연료선박 규칙_2025.pdf · p.46, 47</w:t>
      </w:r>
    </w:p>
    <w:p>
      <w:pPr>
        <w:pStyle w:val="ItemHeading"/>
        <w:shd w:fill="FDECEC"/>
        <w:pBdr>
          <w:left w:val="single" w:sz="18" w:space="8" w:color="9B1C1C"/>
        </w:pBdr>
      </w:pPr>
      <w:r>
        <w:rPr>
          <w:rFonts w:ascii="Calibri" w:hAnsi="Calibri" w:eastAsia="Malgun Gothic"/>
          <w:b/>
          <w:color w:val="1F4D78"/>
          <w:sz w:val="23"/>
        </w:rPr>
        <w:t>BPDF-KR-016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따라 DHT(CSR) 선종의 경우, 종방향 부재(Longitudinal members) 중 어떤 항목들의 두께 측정값을 기록해야 하나요?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DHT(CSR) 선종에 대해 Deck longitudinals, Sheerstrake longitudinals, Side shell longitudinals, Bilge longitudinals, Bottom longitudinals, Deck girders가 포함됩니다.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DHT(CSR) 선종의 경우, 화물 구역 내 1~3개 횡단면에서 다음 항목을 포함하는 종방향 부재(Longitudinal members)의 두께 측정값을 기록해야 합니다. [1]</w:t>
      </w:r>
    </w:p>
    <w:p>
      <w:pPr>
        <w:pStyle w:val="AnswerBody"/>
        <w:shd w:fill="F4F6F9"/>
        <w:numPr>
          <w:ilvl w:val="0"/>
          <w:numId w:val="10"/>
        </w:numPr>
      </w:pPr>
      <w:r>
        <w:rPr>
          <w:rFonts w:ascii="Calibri" w:hAnsi="Calibri" w:eastAsia="Malgun Gothic"/>
          <w:b w:val="0"/>
          <w:sz w:val="19"/>
        </w:rPr>
        <w:t>DHT(CSR) 선종의 경우, 화물 구역 내 1~3개 횡단면에서 다음 항목을 포함하는 종방량 부재(Longitudinal members)의 두께 측정값을 기록해야 합니다.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KR, 1편_2025.pdf (p.319, 조항 1)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1/4 · 완전성 1/4 · 직접응답 예 · 모순 없음 · 근거 없는 구체 주장 없음 · 질문에서 요구한 구체적인 종방향 부재 항목(Deck longitudinals 등)을 답변에 전혀 나열하지 않고 일반적인 문구만 반복하여 사실 관계를 전달하지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1편_2025.pdf · p.319</w:t>
      </w:r>
    </w:p>
    <w:p>
      <w:pPr>
        <w:pStyle w:val="ItemHeading"/>
        <w:shd w:fill="E9F5EE"/>
        <w:pBdr>
          <w:left w:val="single" w:sz="18" w:space="8" w:color="246B46"/>
        </w:pBdr>
      </w:pPr>
      <w:r>
        <w:rPr>
          <w:rFonts w:ascii="Calibri" w:hAnsi="Calibri" w:eastAsia="Malgun Gothic"/>
          <w:b/>
          <w:color w:val="1F4D78"/>
          <w:sz w:val="23"/>
        </w:rPr>
        <w:t>BPDF-KR-017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KR 규정에 따라 준설선 연차검사 시, 감소된 건현을 지정받은 선박에서 확인해야 하는 항목은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덤핑시스템, 호퍼도어 개방 및 준설밸브 폐쇄를 위한 비상제어장치, 흘수지시기, 항해선교에 게시된 항해제한 해상상태 정보 및 비상제어장치 지침서 등</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준설선 규칙(2023) 302. 연차검사 (3)항에 따라, 부록 1에 따라 감소된 건현을 지정받은 선박에서 확인해야 하는 항목은 덤핑시스템, 호퍼도어 개방 및 준설밸브 폐쇄를 위한 비상제어장치, 흘수지시기, 항해선교에 게시된 항해제한 해상상태 정보 및 비상제어장치 지침서, 기타 선장에게 제공되어야 할 정보이다.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준설선 규칙_2023.pdf (조항: 302. 연차검사)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실제 답변이 골드 사실에 포함된 모든 항목(덤핑시스템, 비상제어장치, 흘수지시기, 항해정보 및 지침서)을 정확하게 포함하고 있으며, 해당 조항을 올바르게 인용함.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준설선 규칙_2023.pdf · p.9, 10</w:t>
      </w:r>
    </w:p>
    <w:p>
      <w:pPr>
        <w:pStyle w:val="ItemHeading"/>
        <w:shd w:fill="E9F5EE"/>
        <w:pBdr>
          <w:left w:val="single" w:sz="18" w:space="8" w:color="246B46"/>
        </w:pBdr>
      </w:pPr>
      <w:r>
        <w:rPr>
          <w:rFonts w:ascii="Calibri" w:hAnsi="Calibri" w:eastAsia="Malgun Gothic"/>
          <w:b/>
          <w:color w:val="1F4D78"/>
          <w:sz w:val="23"/>
        </w:rPr>
        <w:t>BPDF-KR-018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크로스타이가 설치되지 않는 경우, 특설늑골의 요구되는 단면계수는 하단으로부터 측정하여 굽힘에 대한 유효스팬의 몇 퍼센트에 걸쳐 유지되어야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크로스타이가 설치되지 않는 경우, 특설늑골의 요구되는 단면계수는 하단으로부터 측정하여 굽힘에 대한 유효스팬의 60%에 걸쳐 유지되어야 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크로스타이가 설치되지 않는 경우, 특설늑골의 요구되는 단면계수는 하단으로부터 측정하여 굽힘에 대한 유효스팬의 60%에 걸쳐 유지되어야 한다.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12편_2014.pdf, 조항 3.3.3.4(a)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수치(60%)와 조건(하단으로부터 측정, 유효스팬)을 정확하게 포함하고 있으며, 관련 조항도 올바르게 인용함.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12편_2014.pdf · p.258, 259</w:t>
      </w:r>
    </w:p>
    <w:p>
      <w:pPr>
        <w:pStyle w:val="Heading2"/>
      </w:pPr>
      <w:r>
        <w:t>ABS · 9문항 (정답 2 / 실패 7 / 보류 0)</w:t>
      </w:r>
    </w:p>
    <w:p>
      <w:pPr>
        <w:pStyle w:val="ItemHeading"/>
        <w:shd w:fill="E9F5EE"/>
        <w:pBdr>
          <w:left w:val="single" w:sz="18" w:space="8" w:color="246B46"/>
        </w:pBdr>
      </w:pPr>
      <w:r>
        <w:rPr>
          <w:rFonts w:ascii="Calibri" w:hAnsi="Calibri" w:eastAsia="Malgun Gothic"/>
          <w:b/>
          <w:color w:val="1F4D78"/>
          <w:sz w:val="23"/>
        </w:rPr>
        <w:t>BPDF-ABS-001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ABS 규정에 따라 추진 기관의 원격 제어권을 중앙 제어소(centralized control station)와 기관실 내 현장 수동 제어 위치 사이에서 전환할 때, 수신 측의 확인(acknowledgment) 절차가 필요한가요?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중앙 제어소와 현장 수동 제어 간의 제어권 전환 시에는 수신 측의 확인(acknowledgment)이 필요하지 않다.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중앙 제어소(centralized control station)와 기관실 내 현장 수동 제어 위치 사이의 추진 제어권 전환 시에는 수신 측의 확인(acknowledgment) 절차가 적용되지 않습니다.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mvr-part-4-jan26.pdf, 조항 13 [1]</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사실과 일치하며, 특히 예외 조항(중앙 제어소와 현장 수동 제어 간 전환 시 확인 절차 불필요)을 정확하게 파악하여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mvr-part-4-jan26.pdf · p.1132</w:t>
      </w:r>
    </w:p>
    <w:p>
      <w:pPr>
        <w:pStyle w:val="ItemHeading"/>
        <w:shd w:fill="FDECEC"/>
        <w:pBdr>
          <w:left w:val="single" w:sz="18" w:space="8" w:color="9B1C1C"/>
        </w:pBdr>
      </w:pPr>
      <w:r>
        <w:rPr>
          <w:rFonts w:ascii="Calibri" w:hAnsi="Calibri" w:eastAsia="Malgun Gothic"/>
          <w:b/>
          <w:color w:val="1F4D78"/>
          <w:sz w:val="23"/>
        </w:rPr>
        <w:t>BPDF-ABS-002</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선체 거더 전단 및 굽힘 모멘트 계산 시 적용해야 하는 국부 하중(local loads)의 종류는 무엇입니까?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구조용 강재 중량 분포, 화물 및 평형수 중량(정적/동적), 정적 해압, 동적 파랑 하중, 그리고 해당되는 경우 그린씨 하중이 포함된다.</w:t>
      </w:r>
    </w:p>
    <w:p>
      <w:pPr>
        <w:pStyle w:val="FieldBody"/>
        <w:ind w:left="202" w:right="86"/>
        <w:shd w:fill="E8EEF5"/>
        <w:pBdr>
          <w:left w:val="single" w:sz="14" w:space="8" w:color="2E74B5"/>
        </w:pBdr>
      </w:pPr>
      <w:r>
        <w:rPr>
          <w:rFonts w:ascii="Calibri" w:hAnsi="Calibri" w:eastAsia="Malgun Gothic"/>
          <w:b w:val="0"/>
          <w:sz w:val="21"/>
        </w:rPr>
        <w:t>항만/탱크 시험 하중 사례의 경우 정적 해압(static sea pressure)만 적용한다.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선체 거더 전단 및 굽힘 모멘트 계산 시 적용해야 하는 국부 하중(local loads)의 종류는 검색 근거에서 확인되지 않음. [1], [2],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[1] KR, 14편_2025.pdf (페이지 143, 조항 2): 정수중 굽힘 모멘트 및 전단력 계산 시 고려해야 하는 설계 화물 및 평형수 적재상태에 대해 기술함.</w:t>
      </w:r>
    </w:p>
    <w:p>
      <w:pPr>
        <w:pStyle w:val="AnswerBody"/>
        <w:shd w:fill="F4F6F9"/>
        <w:numPr>
          <w:ilvl w:val="0"/>
          <w:numId w:val="10"/>
        </w:numPr>
      </w:pPr>
      <w:r>
        <w:rPr>
          <w:rFonts w:ascii="Calibri" w:hAnsi="Calibri" w:eastAsia="Malgun Gothic"/>
          <w:b w:val="0"/>
          <w:sz w:val="19"/>
        </w:rPr>
        <w:t>[2] KR, 13편_2025.pdf (페이지 79): 국부 지지부재의 단면계수, 관성 모멘트, 전단면적 특성치 계산 시 사용되는 순 두께 및 부식추가에 대해 기술함.</w:t>
      </w:r>
    </w:p>
    <w:p>
      <w:pPr>
        <w:pStyle w:val="AnswerBody"/>
        <w:shd w:fill="F4F6F9"/>
        <w:numPr>
          <w:ilvl w:val="0"/>
          <w:numId w:val="10"/>
        </w:numPr>
      </w:pPr>
      <w:r>
        <w:rPr>
          <w:rFonts w:ascii="Calibri" w:hAnsi="Calibri" w:eastAsia="Malgun Gothic"/>
          <w:b w:val="0"/>
          <w:sz w:val="19"/>
        </w:rPr>
        <w:t>[3] KR, 13편_2025.pdf (페이지 153): HSM, HSA, FSM, BSR, BSP, OST 등 다양한 하중상태(Load Cases)를 정의함.</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'확인되지 않음'이라고 기술했으나, 실제 골드 원문(4.4.2)에 국부 하중의 종류가 명확히 기재되어 있어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mvr-part-5a5b-jan25.pdf · p.508</w:t>
      </w:r>
    </w:p>
    <w:p>
      <w:pPr>
        <w:pStyle w:val="ItemHeading"/>
        <w:shd w:fill="FDECEC"/>
        <w:pBdr>
          <w:left w:val="single" w:sz="18" w:space="8" w:color="9B1C1C"/>
        </w:pBdr>
      </w:pPr>
      <w:r>
        <w:rPr>
          <w:rFonts w:ascii="Calibri" w:hAnsi="Calibri" w:eastAsia="Malgun Gothic"/>
          <w:b/>
          <w:color w:val="1F4D78"/>
          <w:sz w:val="23"/>
        </w:rPr>
        <w:t>BPDF-ABS-003</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구조적 구성과 치수가 화물창마다 크게 다를 경우, 모든 주요 영역을 포함하기 위해 3D 유한요소 모델(F.E. model)은 어떻게 구성해야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구조적 구성과 치수가 화물 공간에 따라 크게 다를 경우, 모든 중요 영역을 포함하기 위해 2개 이상의 3D F.E. 모델이 필요할 수 있습니다.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화물구역(3개의 화물창의 FE 모델 길이)의 선형 탄성 삼차원 유한요소해석이 수행된다. [1],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KR 14편_2025.pdf (조항 4.5.2 설계검증 - 전체(global) 유한요소해석) [1]</w:t>
      </w:r>
    </w:p>
    <w:p>
      <w:pPr>
        <w:pStyle w:val="AnswerBody"/>
        <w:shd w:fill="F4F6F9"/>
        <w:numPr>
          <w:ilvl w:val="0"/>
          <w:numId w:val="10"/>
        </w:numPr>
      </w:pPr>
      <w:r>
        <w:rPr>
          <w:rFonts w:ascii="Calibri" w:hAnsi="Calibri" w:eastAsia="Malgun Gothic"/>
          <w:b w:val="0"/>
          <w:sz w:val="19"/>
        </w:rPr>
        <w:t>KR 13편_2025.pdf (조항 5.5.2 설계검증 - 전체(global) 유한요소 해석)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있음 · 근거 없는 구체 주장 있음 · 질문은 '화물창마다 구성이 다를 경우 모델을 어떻게 구성해야 하는가'에 대한 답변(2개 이상의 모델 필요)을 요구했으나, 실제 답변은 단순히 3개의 화물창 범위를 언급하는 등 질문의 핵심 의도와 골드 사실을 전혀 반영하지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mvr-part-5c1-jan26.pdf · p.198</w:t>
      </w:r>
    </w:p>
    <w:p>
      <w:pPr>
        <w:pStyle w:val="ItemHeading"/>
        <w:shd w:fill="FDECEC"/>
        <w:pBdr>
          <w:left w:val="single" w:sz="18" w:space="8" w:color="9B1C1C"/>
        </w:pBdr>
      </w:pPr>
      <w:r>
        <w:rPr>
          <w:rFonts w:ascii="Calibri" w:hAnsi="Calibri" w:eastAsia="Malgun Gothic"/>
          <w:b/>
          <w:color w:val="1F4D78"/>
          <w:sz w:val="23"/>
        </w:rPr>
        <w:t>BPDF-ABS-004</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ABS 규정에 따라 항구 내 운영 시, 화물창(Cargo holds)과 펌프룸(pump room)에 대한 빌지 수위 모니터링 시스템은 어떻게 구성되어야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화물창에는 빌지 수위 모니터링 시스템을 설치하고, 과도한 유입이나 상승 시 알람이 울려야 합니다.</w:t>
      </w:r>
    </w:p>
    <w:p>
      <w:pPr>
        <w:pStyle w:val="FieldBody"/>
        <w:ind w:left="202" w:right="86"/>
        <w:shd w:fill="E8EEF5"/>
        <w:pBdr>
          <w:left w:val="single" w:sz="14" w:space="8" w:color="2E74B5"/>
        </w:pBdr>
      </w:pPr>
      <w:r>
        <w:rPr>
          <w:rFonts w:ascii="Calibri" w:hAnsi="Calibri" w:eastAsia="Malgun Gothic"/>
          <w:b w:val="0"/>
          <w:sz w:val="21"/>
        </w:rPr>
        <w:t>규정에 따라 빌지 수위 모니터링 시스템을 갖춰야 하는 펌프룸의 경우, 해당 조건 발생 시 본 가이드의 섹션 5에 명시된 위치에서 알람이 울려야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항구 내 운영 시 화물창 및 펌프룸의 빌지 수위 모니터링 시스템 구성에 대한 구체적인 요구사항은 검색 근거에서 확인되지 않음.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Survey-After-Construction---Part-7-jan-2026 (11).pdf [1]</w:t>
      </w:r>
    </w:p>
    <w:p>
      <w:pPr>
        <w:pStyle w:val="AnswerBody"/>
        <w:shd w:fill="F4F6F9"/>
        <w:numPr>
          <w:ilvl w:val="0"/>
          <w:numId w:val="10"/>
        </w:numPr>
      </w:pPr>
      <w:r>
        <w:rPr>
          <w:rFonts w:ascii="Calibri" w:hAnsi="Calibri" w:eastAsia="Malgun Gothic"/>
          <w:b w:val="0"/>
          <w:sz w:val="19"/>
        </w:rPr>
        <w:t>Survey-After-Construction---Part-7-jan-2026 (11).pdf [2]</w:t>
      </w:r>
    </w:p>
    <w:p>
      <w:pPr>
        <w:pStyle w:val="AnswerBody"/>
        <w:shd w:fill="F4F6F9"/>
        <w:numPr>
          <w:ilvl w:val="0"/>
          <w:numId w:val="10"/>
        </w:numPr>
      </w:pPr>
      <w:r>
        <w:rPr>
          <w:rFonts w:ascii="Calibri" w:hAnsi="Calibri" w:eastAsia="Malgun Gothic"/>
          <w:b w:val="0"/>
          <w:sz w:val="19"/>
        </w:rPr>
        <w:t>Survey-After-Construction---Part-7-jan-2026 (11).pdf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화물창 및 펌프룸의 빌지 수위 모니터링 시스템에 대한 명확한 요구사항이 존재함에도 불구하고, 답변은 이를 확인되지 않는다고 잘못 판단하여 핵심 정보를 모두 누락함.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Attachments_AutomaticandRemoteControlMonitoringforVesselsinPortnov2010.pdf · p.7, 8</w:t>
      </w:r>
    </w:p>
    <w:p>
      <w:pPr>
        <w:pStyle w:val="ItemHeading"/>
        <w:shd w:fill="E9F5EE"/>
        <w:pBdr>
          <w:left w:val="single" w:sz="18" w:space="8" w:color="246B46"/>
        </w:pBdr>
      </w:pPr>
      <w:r>
        <w:rPr>
          <w:rFonts w:ascii="Calibri" w:hAnsi="Calibri" w:eastAsia="Malgun Gothic"/>
          <w:b/>
          <w:color w:val="1F4D78"/>
          <w:sz w:val="23"/>
        </w:rPr>
        <w:t>BPDF-ABS-005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ABS 규정에 따른 'Surveillance Audit'의 정의는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Surveillance Audit은 사업장 내 특정 영역을 다루며, 품질 및 환경 시스템 매뉴얼의 선택된 섹션과 관련 절차, 운영 절차 및 공정 지침을 다루는 심사이다.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Surveillance Audit은 특정 사업장 내의 운영 중 특정 영역을 다루고, Quality 및 Environmental System Manual의 선택된 섹션, 품질 및 환경 시스템 절차, 그리고 운영 절차 및 공정 지침을 다루는 심사(Audit)를 의미한다.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Attachments_ConditionsofClassificationPart1AShipsjan2026.pdf, 7.7.6 Definitions (2025) [2]</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정확성 4/4 · 완전성 4/4 · 직접응답 예 · 모순 없음 · 근거 없는 구체 주장 없음 · 답변이 골드 사실에 명시된 Surveillance Audit의 정의(특정 영역, 매뉴얼 섹션, 절차 및 지침 포함)를 정확하게 포함하고 있으며, 질문에 직접적으로 답변함.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Attachments_ConditionsofClassificationPart1AShipsjan2026.pdf · p.28</w:t>
      </w:r>
    </w:p>
    <w:p>
      <w:pPr>
        <w:pStyle w:val="ItemHeading"/>
        <w:shd w:fill="FDECEC"/>
        <w:pBdr>
          <w:left w:val="single" w:sz="18" w:space="8" w:color="9B1C1C"/>
        </w:pBdr>
      </w:pPr>
      <w:r>
        <w:rPr>
          <w:rFonts w:ascii="Calibri" w:hAnsi="Calibri" w:eastAsia="Malgun Gothic"/>
          <w:b/>
          <w:color w:val="1F4D78"/>
          <w:sz w:val="23"/>
        </w:rPr>
        <w:t>BPDF-ABS-006</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ABS 규정에 따라 SCR 시스템 설치 및 운용 시 엔진 성능에 미치는 영향과 관련하여 어떤 요구사항이 있습니까?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SCR 시스템은 엔진과 호환되어야 하며, 운전 중 과도한 배압이나 높은 온도로 인해 엔진 성능에 부정적인 영향을 주어서는 안 됩니다.</w:t>
      </w:r>
    </w:p>
    <w:p>
      <w:pPr>
        <w:pStyle w:val="FieldBody"/>
        <w:ind w:left="202" w:right="86"/>
        <w:shd w:fill="E8EEF5"/>
        <w:pBdr>
          <w:left w:val="single" w:sz="14" w:space="8" w:color="2E74B5"/>
        </w:pBdr>
      </w:pPr>
      <w:r>
        <w:rPr>
          <w:rFonts w:ascii="Calibri" w:hAnsi="Calibri" w:eastAsia="Malgun Gothic"/>
          <w:b w:val="0"/>
          <w:sz w:val="21"/>
        </w:rPr>
        <w:t>SCR 유닛이 엔진의 전체 운전 범위에서 배기 흐름과 호환됨을 입증하는 세부 정보를 제출해야 하며, 운영 파라미터가 승인된 설계 제한을 초과해서는 안 됩니다.</w:t>
      </w:r>
    </w:p>
    <w:p>
      <w:pPr>
        <w:pStyle w:val="FieldBody"/>
        <w:ind w:left="202" w:right="86"/>
        <w:shd w:fill="E8EEF5"/>
        <w:pBdr>
          <w:left w:val="single" w:sz="14" w:space="8" w:color="2E74B5"/>
        </w:pBdr>
      </w:pPr>
      <w:r>
        <w:rPr>
          <w:rFonts w:ascii="Calibri" w:hAnsi="Calibri" w:eastAsia="Malgun Gothic"/>
          <w:b w:val="0"/>
          <w:sz w:val="21"/>
        </w:rPr>
        <w:t>추출 배기 팬이나 공기 분사 시스템을 포함하는 SCR 유닛은 ABS 기술 평가 및 승인을 받아야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SCR 시스템 설치 및 운용 시 엔진 성능에 미치는 영향과 관련한 요구사항은 검색 근거에서 확인되지 않음.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mvr-part-6-jan26.pdf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실제 답변은 '확인되지 않음'이라고 답했으나, 골드 원문(7.3 i, ii)에 엔진 성능 영향 및 호환성 관련 요구사항이 명확히 기재되어 있어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mvr-part-6-jan26.pdf · p.355</w:t>
      </w:r>
    </w:p>
    <w:p>
      <w:pPr>
        <w:pStyle w:val="ItemHeading"/>
        <w:shd w:fill="FDECEC"/>
        <w:pBdr>
          <w:left w:val="single" w:sz="18" w:space="8" w:color="9B1C1C"/>
        </w:pBdr>
      </w:pPr>
      <w:r>
        <w:rPr>
          <w:rFonts w:ascii="Calibri" w:hAnsi="Calibri" w:eastAsia="Malgun Gothic"/>
          <w:b/>
          <w:color w:val="1F4D78"/>
          <w:sz w:val="23"/>
        </w:rPr>
        <w:t>BPDF-ABS-007</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최종 통합 및 선상 테스트 단계에서 자율 또는 원격 제어 기능과 관련된 수동 제어권 전환에 대해 어떤 요건이 요구됩니까?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운영자가 모든 시점에서 자율 기능으로부터 동작의 제어권을 다시 가져올 수 있어야 합니다.</w:t>
      </w:r>
    </w:p>
    <w:p>
      <w:pPr>
        <w:pStyle w:val="FieldBody"/>
        <w:ind w:left="202" w:right="86"/>
        <w:shd w:fill="E8EEF5"/>
        <w:pBdr>
          <w:left w:val="single" w:sz="14" w:space="8" w:color="2E74B5"/>
        </w:pBdr>
      </w:pPr>
      <w:r>
        <w:rPr>
          <w:rFonts w:ascii="Calibri" w:hAnsi="Calibri" w:eastAsia="Malgun Gothic"/>
          <w:b w:val="0"/>
          <w:sz w:val="21"/>
        </w:rPr>
        <w:t>선내 인간 인터페이스 시스템 및 제어를 사용하여 수동 제어로 전환하는 작동이 적절하게 작동하는지 확인해야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폐루프 검증을 수행하기 전에는 KR의 특별 고려 사항 및 사전 승인이 필요하다. [2]</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통합 소프트웨어 프로세스 관리 지침_2021.pdf (조항 308) [1],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질문에서 요구한 수동 제어권 전환 요건(운영자의 상시 제어권 확보 및 인터페이스를 통한 작동 확인)에 대해 전혀 언급하지 않았으며, 관련 없는 내용만 포함하고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RequirementsforAutonomousandRemoteControlFunctions-v4.pdf · p.65</w:t>
      </w:r>
    </w:p>
    <w:p>
      <w:pPr>
        <w:pStyle w:val="ItemHeading"/>
        <w:shd w:fill="FDECEC"/>
        <w:pBdr>
          <w:left w:val="single" w:sz="18" w:space="8" w:color="9B1C1C"/>
        </w:pBdr>
      </w:pPr>
      <w:r>
        <w:rPr>
          <w:rFonts w:ascii="Calibri" w:hAnsi="Calibri" w:eastAsia="Malgun Gothic"/>
          <w:b/>
          <w:color w:val="1F4D78"/>
          <w:sz w:val="23"/>
        </w:rPr>
        <w:t>BPDF-ABS-008</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상태 모니터링 작업이 포함되지 않은 계획 정비(Planned Maintenance) 프로그램의 이행 검사 시 확인해야 하는 항목들은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선내 인원이 PM 프로그램에 숙지하고 있어야 하며, 장비 식별 방법 및 기록 유지 절차가 기술되어야 함</w:t>
      </w:r>
    </w:p>
    <w:p>
      <w:pPr>
        <w:pStyle w:val="FieldBody"/>
        <w:ind w:left="202" w:right="86"/>
        <w:shd w:fill="E8EEF5"/>
        <w:pBdr>
          <w:left w:val="single" w:sz="14" w:space="8" w:color="2E74B5"/>
        </w:pBdr>
      </w:pPr>
      <w:r>
        <w:rPr>
          <w:rFonts w:ascii="Calibri" w:hAnsi="Calibri" w:eastAsia="Malgun Gothic"/>
          <w:b w:val="0"/>
          <w:sz w:val="21"/>
        </w:rPr>
        <w:t>소프트웨어가 연간 확인 검사에 필요한 문서를 생성할 수 있어야 하며 관련 문서가 구비되어야 함</w:t>
      </w:r>
    </w:p>
    <w:p>
      <w:pPr>
        <w:pStyle w:val="FieldBody"/>
        <w:ind w:left="202" w:right="86"/>
        <w:shd w:fill="E8EEF5"/>
        <w:pBdr>
          <w:left w:val="single" w:sz="14" w:space="8" w:color="2E74B5"/>
        </w:pBdr>
      </w:pPr>
      <w:r>
        <w:rPr>
          <w:rFonts w:ascii="Calibri" w:hAnsi="Calibri" w:eastAsia="Malgun Gothic"/>
          <w:b w:val="0"/>
          <w:sz w:val="21"/>
        </w:rPr>
        <w:t>컴퓨터 시스템의 상세 내용 및 백업 기능이 검토되어야 하며, 제조사 권고에 기반한 서비스 및 오버홀 일정이 제출되어야 함</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상태 모니터링 작업이 포함되지 않은 계획 정비(Planned Maintenance) 프로그램의 이행 검사 시 확인해야 하는 구체적인 항목은 검색 근거에서 확인되지 않음. [1], [2], [3]</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DNV-RU-OU-0375.pdf [1]</w:t>
      </w:r>
    </w:p>
    <w:p>
      <w:pPr>
        <w:pStyle w:val="AnswerBody"/>
        <w:shd w:fill="F4F6F9"/>
        <w:numPr>
          <w:ilvl w:val="0"/>
          <w:numId w:val="10"/>
        </w:numPr>
      </w:pPr>
      <w:r>
        <w:rPr>
          <w:rFonts w:ascii="Calibri" w:hAnsi="Calibri" w:eastAsia="Malgun Gothic"/>
          <w:b w:val="0"/>
          <w:sz w:val="19"/>
        </w:rPr>
        <w:t>MEPC 84-4-4 - Addressing operational challenges in challenging water quality proposed amendments to reso... (Marshall Islands, INTERTA...).pdf [2]</w:t>
      </w:r>
    </w:p>
    <w:p>
      <w:pPr>
        <w:pStyle w:val="AnswerBody"/>
        <w:shd w:fill="F4F6F9"/>
        <w:numPr>
          <w:ilvl w:val="0"/>
          <w:numId w:val="10"/>
        </w:numPr>
      </w:pPr>
      <w:r>
        <w:rPr>
          <w:rFonts w:ascii="Calibri" w:hAnsi="Calibri" w:eastAsia="Malgun Gothic"/>
          <w:b w:val="0"/>
          <w:sz w:val="19"/>
        </w:rPr>
        <w:t>Survey-After-Construction---Part-7-jan-2026 (11).pdf [3]</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골드 원문에 명확한 답변 내용이 존재함에도 불구하고 '검색 근거에서 확인되지 않음'이라고 답변하여 사실 관계를 전혀 파악하지 못함.</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Survey-After-Construction---Part-7-jan-2026 (11).pdf · p.826</w:t>
      </w:r>
    </w:p>
    <w:p>
      <w:pPr>
        <w:pStyle w:val="ItemHeading"/>
        <w:shd w:fill="FDECEC"/>
        <w:pBdr>
          <w:left w:val="single" w:sz="18" w:space="8" w:color="9B1C1C"/>
        </w:pBdr>
      </w:pPr>
      <w:r>
        <w:rPr>
          <w:rFonts w:ascii="Calibri" w:hAnsi="Calibri" w:eastAsia="Malgun Gothic"/>
          <w:b/>
          <w:color w:val="1F4D78"/>
          <w:sz w:val="23"/>
        </w:rPr>
        <w:t>BPDF-ABS-009</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ABS 규정에 따라 소음이 매우 높은 공간에 설치된 장비의 경보 시스템은 어떻게 구성되어야 합니까?</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소음 수준이 비정상적으로 높은 공간에서는 청각 경보를 보완하기 위해 눈에 잘 띄는 곳에 설치된 비콘(beacon)이나 유사한 장치를 추가로 제공해야 합니다.</w:t>
      </w:r>
    </w:p>
    <w:p>
      <w:pPr>
        <w:pStyle w:val="FieldBody"/>
        <w:ind w:left="202" w:right="86"/>
        <w:shd w:fill="E8EEF5"/>
        <w:pBdr>
          <w:left w:val="single" w:sz="14" w:space="8" w:color="2E74B5"/>
        </w:pBdr>
      </w:pPr>
      <w:r>
        <w:rPr>
          <w:rFonts w:ascii="Calibri" w:hAnsi="Calibri" w:eastAsia="Malgun Gothic"/>
          <w:b w:val="0"/>
          <w:sz w:val="21"/>
        </w:rPr>
        <w:t>소음이 높은 공간에서 사용되는 비콘 중 적색(red)은 화재 경보용으로만 사용되어야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오일 미스트 감지 및 경보 시스템은 제조사의 시험 절차에 따라 테스트 베드 및 선상에서 엔진 정지 상태 및 정상 운전 조건에서 테스트가 가능해야 한다.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mvr-part-4-jan26.pdf, Clause 7.2.2(c) [2]</w:t>
      </w:r>
    </w:p>
    <w:p>
      <w:pPr>
        <w:pStyle w:val="AnswerBody"/>
        <w:shd w:fill="F4F6F9"/>
        <w:numPr>
          <w:ilvl w:val="0"/>
          <w:numId w:val="10"/>
        </w:numPr>
      </w:pPr>
      <w:r>
        <w:rPr>
          <w:rFonts w:ascii="Calibri" w:hAnsi="Calibri" w:eastAsia="Malgun Gothic"/>
          <w:b w:val="0"/>
          <w:sz w:val="19"/>
        </w:rPr>
        <w:t>mvr-part-4-jan26.pdf, Clause 7 [1]</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답변이 질문(소음이 높은 공간의 경보 시스템 구성)과 전혀 무관한 '오일 미스트 감지 및 경보 시스템'에 대해 답변하고 있습니다.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Attachments_AutomaticorRemoteControlandMonitoringforMachineryandSystemsotherthanPropulsionjul2024.pdf · p.11</w:t>
      </w:r>
    </w:p>
    <w:p>
      <w:pPr>
        <w:pStyle w:val="Heading2"/>
      </w:pPr>
      <w:r>
        <w:t>LR · 1문항 (정답 0 / 실패 1 / 보류 0)</w:t>
      </w:r>
    </w:p>
    <w:p>
      <w:pPr>
        <w:pStyle w:val="ItemHeading"/>
        <w:shd w:fill="FDECEC"/>
        <w:pBdr>
          <w:left w:val="single" w:sz="18" w:space="8" w:color="9B1C1C"/>
        </w:pBdr>
      </w:pPr>
      <w:r>
        <w:rPr>
          <w:rFonts w:ascii="Calibri" w:hAnsi="Calibri" w:eastAsia="Malgun Gothic"/>
          <w:b/>
          <w:color w:val="1F4D78"/>
          <w:sz w:val="23"/>
        </w:rPr>
        <w:t>BPDF-LR-001</w:t>
      </w:r>
      <w:r>
        <w:rPr>
          <w:rFonts w:ascii="Calibri" w:hAnsi="Calibri" w:eastAsia="Malgun Gothic"/>
          <w:b/>
          <w:color w:val="9B1C1C"/>
          <w:sz w:val="23"/>
        </w:rPr>
        <w:t xml:space="preserve">  |  실패</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Notice No.1 Rules and Regulations for the Classification of Ships, July 2025에 따르면, 앵커 핸들링 윈치(anchor handling winch)를 위해 제출해야 하는 설계 정보와 계산 항목은 무엇인가요?</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최대 라인 인장력(maximum line pull), 윈치 브레이크 유지 용량(winch brake holding capacity), 렌더링 하중(rendering load) 및 비상 퀵 릴리스 장치의 전체 사양이 포함되어야 합니다.</w:t>
      </w:r>
    </w:p>
    <w:p>
      <w:pPr>
        <w:pStyle w:val="FieldLabel"/>
      </w:pPr>
      <w:r>
        <w:rPr>
          <w:rFonts w:ascii="Calibri" w:hAnsi="Calibri" w:eastAsia="Malgun Gothic"/>
          <w:b/>
          <w:color w:val="2E74B5"/>
          <w:sz w:val="18"/>
        </w:rPr>
        <w:t>실제 Accurate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Notice No.1 Rules and Regulations for the Classification of Ships, July 2025에 따르면, 앵커 핸들링 윈치(anchor handling winch), 관련 장비 및 느슨한 화물(loose gear)은 Pt 4, Ch 4, 10에 규정되어 있습니다. [1]</w:t>
      </w:r>
    </w:p>
    <w:p>
      <w:pPr>
        <w:pStyle w:val="AnswerBody"/>
        <w:shd w:fill="F4F6F9"/>
        <w:numPr>
          <w:ilvl w:val="0"/>
          <w:numId w:val="10"/>
        </w:numPr>
      </w:pPr>
      <w:r>
        <w:rPr>
          <w:rFonts w:ascii="Calibri" w:hAnsi="Calibri" w:eastAsia="Malgun Gothic"/>
          <w:b w:val="0"/>
          <w:sz w:val="19"/>
        </w:rPr>
        <w:t>해당 항목은 AHTS (Anchor Handler, Tug Supply)를 포함하는 범위 내에서 관리됩니다. [1]</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검색 근거에서 확인되지 않음</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Notice No.1 Rules and Regulations for the Classification of Ships, July 2025 (Pt 4, Ch 4, 10 Anchor handling winches, associated equipment and loose gear). [1]</w:t>
      </w:r>
    </w:p>
    <w:p>
      <w:pPr>
        <w:pStyle w:val="AnswerBody"/>
        <w:shd w:fill="F4F6F9"/>
        <w:numPr>
          <w:ilvl w:val="0"/>
          <w:numId w:val="10"/>
        </w:numPr>
      </w:pPr>
      <w:r>
        <w:rPr>
          <w:rFonts w:ascii="Calibri" w:hAnsi="Calibri" w:eastAsia="Malgun Gothic"/>
          <w:b w:val="0"/>
          <w:sz w:val="19"/>
        </w:rPr>
        <w:t>Notice No.1 Rules and Regulations for the Classification of Ships, July 2025 (p.6 표 내 해당 항목). [2]</w:t>
      </w:r>
    </w:p>
    <w:p>
      <w:pPr>
        <w:pStyle w:val="FieldLabel"/>
      </w:pPr>
      <w:r>
        <w:rPr>
          <w:rFonts w:ascii="Calibri" w:hAnsi="Calibri" w:eastAsia="Malgun Gothic"/>
          <w:b/>
          <w:color w:val="2E74B5"/>
          <w:sz w:val="18"/>
        </w:rPr>
        <w:t>자동 판정</w:t>
      </w:r>
    </w:p>
    <w:p>
      <w:pPr>
        <w:pStyle w:val="FieldBody"/>
        <w:ind w:left="202" w:right="86"/>
        <w:shd w:fill="FDECEC"/>
        <w:pBdr>
          <w:left w:val="single" w:sz="18" w:space="8" w:color="9B1C1C"/>
        </w:pBdr>
      </w:pPr>
      <w:r>
        <w:rPr>
          <w:rFonts w:ascii="Calibri" w:hAnsi="Calibri" w:eastAsia="Malgun Gothic"/>
          <w:b/>
          <w:color w:val="9B1C1C"/>
          <w:sz w:val="21"/>
        </w:rPr>
        <w:t xml:space="preserve">실패  </w:t>
      </w:r>
      <w:r>
        <w:rPr>
          <w:rFonts w:ascii="Calibri" w:hAnsi="Calibri" w:eastAsia="Malgun Gothic"/>
          <w:color w:val="111111"/>
          <w:sz w:val="19"/>
        </w:rPr>
        <w:t>정확성 0/4 · 완전성 0/4 · 직접응답 아니오 · 모순 없음 · 근거 없는 구체 주장 없음 · 질문은 '앵커 핸들링 윈치에 대해 제출해야 하는 설계 정보와 계산 항목'을 물었으나, 답변은 해당 내용을 구체적으로 기술하지 않고 단순히 관련 장의 위치나 범위만 언급하고 있어 질문에 대한 답이 되지 않음.</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Notice No.1 Rules and Regulations for the Classification of Ships, July 2025.pdf · p.7</w:t>
      </w:r>
    </w:p>
    <w:p>
      <w:pPr>
        <w:pStyle w:val="Heading1"/>
      </w:pPr>
      <w:r>
        <w:t>2. 표 질문 상세 결과</w:t>
      </w:r>
    </w:p>
    <w:p>
      <w:pPr>
        <w:pStyle w:val="ItemHeading"/>
        <w:shd w:fill="E9F5EE"/>
        <w:pBdr>
          <w:left w:val="single" w:sz="18" w:space="8" w:color="246B46"/>
        </w:pBdr>
      </w:pPr>
      <w:r>
        <w:rPr>
          <w:rFonts w:ascii="Calibri" w:hAnsi="Calibri" w:eastAsia="Malgun Gothic"/>
          <w:b/>
          <w:color w:val="1F4D78"/>
          <w:sz w:val="23"/>
        </w:rPr>
        <w:t>TC22_001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RSTH 12·22·23·24 관을 확관한 후 관 끝의 허용 바깥지름은 원래 관 바깥지름의 몇 배인가?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관의 바깥지름의 1.14배</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관 끝의 바깥지름 → 관의 바깥지름의 1.14배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2편_2025.pdf · p.60</w:t>
      </w:r>
    </w:p>
    <w:p>
      <w:pPr>
        <w:pStyle w:val="ItemHeading"/>
        <w:shd w:fill="E9F5EE"/>
        <w:pBdr>
          <w:left w:val="single" w:sz="18" w:space="8" w:color="246B46"/>
        </w:pBdr>
      </w:pPr>
      <w:r>
        <w:rPr>
          <w:rFonts w:ascii="Calibri" w:hAnsi="Calibri" w:eastAsia="Malgun Gothic"/>
          <w:b/>
          <w:color w:val="1F4D78"/>
          <w:sz w:val="23"/>
        </w:rPr>
        <w:t>TC22_004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기관실 격벽은 어느 위치의 횡격벽을 의미하는가?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기관실 전방 또는 후방의 횡격벽</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정의 → 기관실 전방 또는 후방의 횡격벽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13편_2025.pdf · p.48</w:t>
      </w:r>
    </w:p>
    <w:p>
      <w:pPr>
        <w:pStyle w:val="ItemHeading"/>
        <w:shd w:fill="E9F5EE"/>
        <w:pBdr>
          <w:left w:val="single" w:sz="18" w:space="8" w:color="246B46"/>
        </w:pBdr>
      </w:pPr>
      <w:r>
        <w:rPr>
          <w:rFonts w:ascii="Calibri" w:hAnsi="Calibri" w:eastAsia="Malgun Gothic"/>
          <w:b/>
          <w:color w:val="1F4D78"/>
          <w:sz w:val="23"/>
        </w:rPr>
        <w:t>TC22_007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좌굴패널은 어떤 판 패널을 의미하는가?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좌굴해석을 고려하는 요소 판 패널</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정의 → 좌굴해석을 고려하는 요소 판 패널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14편_2025.pdf · p.36</w:t>
      </w:r>
    </w:p>
    <w:p>
      <w:pPr>
        <w:pStyle w:val="ItemHeading"/>
        <w:shd w:fill="E9F5EE"/>
        <w:pBdr>
          <w:left w:val="single" w:sz="18" w:space="8" w:color="246B46"/>
        </w:pBdr>
      </w:pPr>
      <w:r>
        <w:rPr>
          <w:rFonts w:ascii="Calibri" w:hAnsi="Calibri" w:eastAsia="Malgun Gothic"/>
          <w:b/>
          <w:color w:val="1F4D78"/>
          <w:sz w:val="23"/>
        </w:rPr>
        <w:t>TC22_010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실린더 출구별 배기가스 온도가 평균에서 벗어나면 이중차단·배출밸브의 자동 작동이 요구되는가?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이중차단 및 배출밸브의 자동 작동 ● → ●(2)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Circular (K) Total_2026.pdf · p.298</w:t>
      </w:r>
    </w:p>
    <w:p>
      <w:pPr>
        <w:pStyle w:val="ItemHeading"/>
        <w:shd w:fill="E9F5EE"/>
        <w:pBdr>
          <w:left w:val="single" w:sz="18" w:space="8" w:color="246B46"/>
        </w:pBdr>
      </w:pPr>
      <w:r>
        <w:rPr>
          <w:rFonts w:ascii="Calibri" w:hAnsi="Calibri" w:eastAsia="Malgun Gothic"/>
          <w:b/>
          <w:color w:val="1F4D78"/>
          <w:sz w:val="23"/>
        </w:rPr>
        <w:t>TC22_013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재화중량이 10만 톤 초과 15만 톤 이하인 선박의 안전사용하중은 몇 톤인가?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250</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안전사용하중(SWL) (ton) → 250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제조법 및 형식승인 등에 관한 지침_2025.pdf · p.107</w:t>
      </w:r>
    </w:p>
    <w:p>
      <w:pPr>
        <w:pStyle w:val="ItemHeading"/>
        <w:shd w:fill="E9F5EE"/>
        <w:pBdr>
          <w:left w:val="single" w:sz="18" w:space="8" w:color="246B46"/>
        </w:pBdr>
      </w:pPr>
      <w:r>
        <w:rPr>
          <w:rFonts w:ascii="Calibri" w:hAnsi="Calibri" w:eastAsia="Malgun Gothic"/>
          <w:b/>
          <w:color w:val="1F4D78"/>
          <w:sz w:val="23"/>
        </w:rPr>
        <w:t>TC22_016</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주 운송화물명을 표시하는 Chemical Carrier 특기사항의 설계 규정은 어느 장인가?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7편 6장</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Design → 7편 6장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선급부호 안내서_2025.pdf · p.31</w:t>
      </w:r>
    </w:p>
    <w:p>
      <w:pPr>
        <w:pStyle w:val="ItemHeading"/>
        <w:shd w:fill="E9F5EE"/>
        <w:pBdr>
          <w:left w:val="single" w:sz="18" w:space="8" w:color="246B46"/>
        </w:pBdr>
      </w:pPr>
      <w:r>
        <w:rPr>
          <w:rFonts w:ascii="Calibri" w:hAnsi="Calibri" w:eastAsia="Malgun Gothic"/>
          <w:b/>
          <w:color w:val="1F4D78"/>
          <w:sz w:val="23"/>
        </w:rPr>
        <w:t>TC22_019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주요 지지부재는 최종강도 검토 대상인가?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Y(2)</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Ultimate strength check → Y(2)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15편_2025.pdf · p.75</w:t>
      </w:r>
    </w:p>
    <w:p>
      <w:pPr>
        <w:pStyle w:val="ItemHeading"/>
        <w:shd w:fill="E9F5EE"/>
        <w:pBdr>
          <w:left w:val="single" w:sz="18" w:space="8" w:color="246B46"/>
        </w:pBdr>
      </w:pPr>
      <w:r>
        <w:rPr>
          <w:rFonts w:ascii="Calibri" w:hAnsi="Calibri" w:eastAsia="Malgun Gothic"/>
          <w:b/>
          <w:color w:val="1F4D78"/>
          <w:sz w:val="23"/>
        </w:rPr>
        <w:t>TC22_022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빌지저장탱크는 제4차 이후 정기검사에서 내부검사 대상인가?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 xml:space="preserve">1편_2025.pdf, p.59, kr_1_2025_p0059_t004: 제4차 및 이후 정기검사 값은 </w:t>
      </w:r>
      <w:r>
        <w:rPr>
          <w:rFonts w:ascii="Calibri" w:hAnsi="Calibri" w:eastAsia="Malgun Gothic"/>
          <w:b/>
          <w:sz w:val="19"/>
        </w:rPr>
        <w:t>○</w:t>
      </w:r>
      <w:r>
        <w:rPr>
          <w:rFonts w:ascii="Calibri" w:hAnsi="Calibri" w:eastAsia="Malgun Gothic"/>
          <w:b w:val="0"/>
          <w:sz w:val="19"/>
        </w:rPr>
        <w:t>입니다. [1]</w:t>
      </w:r>
    </w:p>
    <w:p>
      <w:pPr>
        <w:pStyle w:val="AnswerBody"/>
        <w:shd w:fill="F4F6F9"/>
        <w:numPr>
          <w:ilvl w:val="0"/>
          <w:numId w:val="10"/>
        </w:numPr>
      </w:pPr>
      <w:r>
        <w:rPr>
          <w:rFonts w:ascii="Calibri" w:hAnsi="Calibri" w:eastAsia="Malgun Gothic"/>
          <w:b w:val="0"/>
          <w:sz w:val="19"/>
        </w:rPr>
        <w:t xml:space="preserve">1편_2025.pdf, p.63, kr_1_2025_p0063_t008: 제4차 및 이후 정기검사 값은 </w:t>
      </w:r>
      <w:r>
        <w:rPr>
          <w:rFonts w:ascii="Calibri" w:hAnsi="Calibri" w:eastAsia="Malgun Gothic"/>
          <w:b/>
          <w:sz w:val="19"/>
        </w:rPr>
        <w:t>△</w:t>
      </w:r>
      <w:r>
        <w:rPr>
          <w:rFonts w:ascii="Calibri" w:hAnsi="Calibri" w:eastAsia="Malgun Gothic"/>
          <w:b w:val="0"/>
          <w:sz w:val="19"/>
        </w:rPr>
        <w:t>입니다. [2]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1편_2025.pdf · p.59</w:t>
      </w:r>
    </w:p>
    <w:p>
      <w:pPr>
        <w:pStyle w:val="ItemHeading"/>
        <w:shd w:fill="E9F5EE"/>
        <w:pBdr>
          <w:left w:val="single" w:sz="18" w:space="8" w:color="246B46"/>
        </w:pBdr>
      </w:pPr>
      <w:r>
        <w:rPr>
          <w:rFonts w:ascii="Calibri" w:hAnsi="Calibri" w:eastAsia="Malgun Gothic"/>
          <w:b/>
          <w:color w:val="1F4D78"/>
          <w:sz w:val="23"/>
        </w:rPr>
        <w:t>TC22_025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평형수탱크·빌지탱크·드레인 저장탱크·체인로커 한쪽 면의 부식추가는 몇 mm인가?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1.0</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tc1 또는 tc2 → 1.0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3편_2025.pdf · p.339</w:t>
      </w:r>
    </w:p>
    <w:p>
      <w:pPr>
        <w:pStyle w:val="ItemHeading"/>
        <w:shd w:fill="FFF6DA"/>
        <w:pBdr>
          <w:left w:val="single" w:sz="18" w:space="8" w:color="7A5A00"/>
        </w:pBdr>
      </w:pPr>
      <w:r>
        <w:rPr>
          <w:rFonts w:ascii="Calibri" w:hAnsi="Calibri" w:eastAsia="Malgun Gothic"/>
          <w:b/>
          <w:color w:val="1F4D78"/>
          <w:sz w:val="23"/>
        </w:rPr>
        <w:t>TC22_028</w:t>
      </w:r>
      <w:r>
        <w:rPr>
          <w:rFonts w:ascii="Calibri" w:hAnsi="Calibri" w:eastAsia="Malgun Gothic"/>
          <w:b/>
          <w:color w:val="7A5A00"/>
          <w:sz w:val="23"/>
        </w:rPr>
        <w:t xml:space="preserve">  |  보류</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선수격벽 뒤에 있는 체인로커의 시험압력수두는 어떻게 정하는가?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z = z ST TOP</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시험압력수두(m) → zST = zTOP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FFF6DA"/>
        <w:pBdr>
          <w:left w:val="single" w:sz="18" w:space="8" w:color="7A5A00"/>
        </w:pBdr>
      </w:pPr>
      <w:r>
        <w:rPr>
          <w:rFonts w:ascii="Calibri" w:hAnsi="Calibri" w:eastAsia="Malgun Gothic"/>
          <w:b/>
          <w:color w:val="7A5A00"/>
          <w:sz w:val="21"/>
        </w:rPr>
        <w:t xml:space="preserve">보류  </w:t>
      </w:r>
      <w:r>
        <w:rPr>
          <w:rFonts w:ascii="Calibri" w:hAnsi="Calibri" w:eastAsia="Malgun Gothic"/>
          <w:color w:val="111111"/>
          <w:sz w:val="19"/>
        </w:rPr>
        <w:t>엄격 문자열 비교에서는 불일치했지만 정답 문서와 페이지는 적중했습니다. 기준값 ‘z = z ST TOP’과 실제 표기 차이를 사람이 확인해야 합니다.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11편_2014.pdf · p.143</w:t>
      </w:r>
    </w:p>
    <w:p>
      <w:pPr>
        <w:pStyle w:val="ItemHeading"/>
        <w:shd w:fill="E9F5EE"/>
        <w:pBdr>
          <w:left w:val="single" w:sz="18" w:space="8" w:color="246B46"/>
        </w:pBdr>
      </w:pPr>
      <w:r>
        <w:rPr>
          <w:rFonts w:ascii="Calibri" w:hAnsi="Calibri" w:eastAsia="Malgun Gothic"/>
          <w:b/>
          <w:color w:val="1F4D78"/>
          <w:sz w:val="23"/>
        </w:rPr>
        <w:t>TC22_031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어느 면도 해수에 접하지 않는 부재의 부식 두께는 몇 mm인가?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1.5 mm</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부식 두께 2.5 mm → 1.5 mm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7편_2025.pdf · p.383</w:t>
      </w:r>
    </w:p>
    <w:p>
      <w:pPr>
        <w:pStyle w:val="ItemHeading"/>
        <w:shd w:fill="E9F5EE"/>
        <w:pBdr>
          <w:left w:val="single" w:sz="18" w:space="8" w:color="246B46"/>
        </w:pBdr>
      </w:pPr>
      <w:r>
        <w:rPr>
          <w:rFonts w:ascii="Calibri" w:hAnsi="Calibri" w:eastAsia="Malgun Gothic"/>
          <w:b/>
          <w:color w:val="1F4D78"/>
          <w:sz w:val="23"/>
        </w:rPr>
        <w:t>TC22_034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1·2구역의 비선수미 격벽에는 외판에서 몇 m 이내까지 판 구조요건을 적용하는가?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1.2m 이내</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외판으로부터 거리 → 1.2m 이내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빙해운항선박 지침_2025.pdf · p.112</w:t>
      </w:r>
    </w:p>
    <w:p>
      <w:pPr>
        <w:pStyle w:val="ItemHeading"/>
        <w:shd w:fill="E9F5EE"/>
        <w:pBdr>
          <w:left w:val="single" w:sz="18" w:space="8" w:color="246B46"/>
        </w:pBdr>
      </w:pPr>
      <w:r>
        <w:rPr>
          <w:rFonts w:ascii="Calibri" w:hAnsi="Calibri" w:eastAsia="Malgun Gothic"/>
          <w:b/>
          <w:color w:val="1F4D78"/>
          <w:sz w:val="23"/>
        </w:rPr>
        <w:t>TC22_037</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내항 또는 보호수역 운항 시 허용 정수중 전단력은 어떤 기호로 표시하는가?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Q sw-perm-harb</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정수중 전단력, Qsw-perm → Qsw-perm-harb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12편_2014.pdf · p.207</w:t>
      </w:r>
    </w:p>
    <w:p>
      <w:pPr>
        <w:pStyle w:val="ItemHeading"/>
        <w:shd w:fill="E9F5EE"/>
        <w:pBdr>
          <w:left w:val="single" w:sz="18" w:space="8" w:color="246B46"/>
        </w:pBdr>
      </w:pPr>
      <w:r>
        <w:rPr>
          <w:rFonts w:ascii="Calibri" w:hAnsi="Calibri" w:eastAsia="Malgun Gothic"/>
          <w:b/>
          <w:color w:val="1F4D78"/>
          <w:sz w:val="23"/>
        </w:rPr>
        <w:t>TC22_040</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점화용 연료분사 또는 스파크 점화장치가 오작동하면 이중차단·배출밸브가 자동 작동해야 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●(2)</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이중차단 및 배출밸브의 자동 작동 ● → ●(2)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아니오 · 페이지 적중 아니오</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5편_2025.pdf · p.331</w:t>
      </w:r>
    </w:p>
    <w:p>
      <w:pPr>
        <w:pStyle w:val="ItemHeading"/>
        <w:shd w:fill="E9F5EE"/>
        <w:pBdr>
          <w:left w:val="single" w:sz="18" w:space="8" w:color="246B46"/>
        </w:pBdr>
      </w:pPr>
      <w:r>
        <w:rPr>
          <w:rFonts w:ascii="Calibri" w:hAnsi="Calibri" w:eastAsia="Malgun Gothic"/>
          <w:b/>
          <w:color w:val="1F4D78"/>
          <w:sz w:val="23"/>
        </w:rPr>
        <w:t>TC22_043</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창구와 맨홀을 2차방벽 또는 방벽간 구역에 설치할 때 어떤 강재를 사용해야 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저온강</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2차방벽 및 방벽간 구역 → 저온강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7편(5,6장)_2025.pdf · p.186</w:t>
      </w:r>
    </w:p>
    <w:p>
      <w:pPr>
        <w:pStyle w:val="ItemHeading"/>
        <w:shd w:fill="E9F5EE"/>
        <w:pBdr>
          <w:left w:val="single" w:sz="18" w:space="8" w:color="246B46"/>
        </w:pBdr>
      </w:pPr>
      <w:r>
        <w:rPr>
          <w:rFonts w:ascii="Calibri" w:hAnsi="Calibri" w:eastAsia="Malgun Gothic"/>
          <w:b/>
          <w:color w:val="1F4D78"/>
          <w:sz w:val="23"/>
        </w:rPr>
        <w:t>TC22_046</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선급이 추가로 요구하는 기관 표시·경보항목은 어디에 표시해야 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우리 선급이 요구하는 개소</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표 시 장 소 → 우리 선급이 요구하는 개소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9편_2025.pdf · p.227</w:t>
      </w:r>
    </w:p>
    <w:p>
      <w:pPr>
        <w:pStyle w:val="ItemHeading"/>
        <w:shd w:fill="E9F5EE"/>
        <w:pBdr>
          <w:left w:val="single" w:sz="18" w:space="8" w:color="246B46"/>
        </w:pBdr>
      </w:pPr>
      <w:r>
        <w:rPr>
          <w:rFonts w:ascii="Calibri" w:hAnsi="Calibri" w:eastAsia="Malgun Gothic"/>
          <w:b/>
          <w:color w:val="1F4D78"/>
          <w:sz w:val="23"/>
        </w:rPr>
        <w:t>TC22_049</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소선지름이 0.20mm 이상 1.00mm 이하일 때 최대지름과 최소지름의 허용 차이는 몇 mm인가?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0.06</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전제는 맞습니다. 소선지름이 0.20mm 이상 1.00mm 이하일 때 최대지름과 최소지름의 허용 차이는 0.06 [4]입니다.</w:t>
      </w:r>
    </w:p>
    <w:p>
      <w:pPr>
        <w:pStyle w:val="AnswerSection"/>
        <w:shd w:fill="F4F6F9"/>
      </w:pPr>
      <w:r>
        <w:rPr>
          <w:rFonts w:ascii="Calibri" w:hAnsi="Calibri" w:eastAsia="Malgun Gothic"/>
          <w:b w:val="0"/>
          <w:sz w:val="19"/>
        </w:rPr>
        <w:t>2) 선박 운항/업무 영향</w:t>
      </w:r>
    </w:p>
    <w:p>
      <w:pPr>
        <w:pStyle w:val="AnswerBody"/>
        <w:shd w:fill="F4F6F9"/>
        <w:numPr>
          <w:ilvl w:val="0"/>
          <w:numId w:val="10"/>
        </w:numPr>
      </w:pPr>
      <w:r>
        <w:rPr>
          <w:rFonts w:ascii="Calibri" w:hAnsi="Calibri" w:eastAsia="Malgun Gothic"/>
          <w:b w:val="0"/>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AnswerBody"/>
        <w:shd w:fill="F4F6F9"/>
        <w:numPr>
          <w:ilvl w:val="0"/>
          <w:numId w:val="10"/>
        </w:numPr>
      </w:pPr>
      <w:r>
        <w:rPr>
          <w:rFonts w:ascii="Calibri" w:hAnsi="Calibri" w:eastAsia="Malgun Gothic"/>
          <w:b w:val="0"/>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AnswerBody"/>
        <w:shd w:fill="F4F6F9"/>
        <w:numPr>
          <w:ilvl w:val="0"/>
          <w:numId w:val="10"/>
        </w:numPr>
      </w:pPr>
      <w:r>
        <w:rPr>
          <w:rFonts w:ascii="Calibri" w:hAnsi="Calibri" w:eastAsia="Malgun Gothic"/>
          <w:b w:val="0"/>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4편_2025.pdf · p.98</w:t>
      </w:r>
    </w:p>
    <w:p>
      <w:pPr>
        <w:pStyle w:val="ItemHeading"/>
        <w:shd w:fill="E9F5EE"/>
        <w:pBdr>
          <w:left w:val="single" w:sz="18" w:space="8" w:color="246B46"/>
        </w:pBdr>
      </w:pPr>
      <w:r>
        <w:rPr>
          <w:rFonts w:ascii="Calibri" w:hAnsi="Calibri" w:eastAsia="Malgun Gothic"/>
          <w:b/>
          <w:color w:val="1F4D78"/>
          <w:sz w:val="23"/>
        </w:rPr>
        <w:t>TC22_052</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길이 25m 이상 30m 미만인 선박에는 동력 빌지펌프가 몇 대 필요한가?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1대</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펌 프 독립동력펌프 → 1대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고속경구조선 규칙_2025.pdf · p.164</w:t>
      </w:r>
    </w:p>
    <w:p>
      <w:pPr>
        <w:pStyle w:val="ItemHeading"/>
        <w:shd w:fill="E9F5EE"/>
        <w:pBdr>
          <w:left w:val="single" w:sz="18" w:space="8" w:color="246B46"/>
        </w:pBdr>
      </w:pPr>
      <w:r>
        <w:rPr>
          <w:rFonts w:ascii="Calibri" w:hAnsi="Calibri" w:eastAsia="Malgun Gothic"/>
          <w:b/>
          <w:color w:val="1F4D78"/>
          <w:sz w:val="23"/>
        </w:rPr>
        <w:t>TC22_055</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무할로겐 고등급 에틸렌 프로필렌 고무 절연물의 최고 허용 도체온도는 몇 °C인가?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90</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도체 최고 &gt; 정상 운전 → 90 [1][2]</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6편_2025.pdf · p.33</w:t>
      </w:r>
    </w:p>
    <w:p>
      <w:pPr>
        <w:pStyle w:val="ItemHeading"/>
        <w:shd w:fill="E9F5EE"/>
        <w:pBdr>
          <w:left w:val="single" w:sz="18" w:space="8" w:color="246B46"/>
        </w:pBdr>
      </w:pPr>
      <w:r>
        <w:rPr>
          <w:rFonts w:ascii="Calibri" w:hAnsi="Calibri" w:eastAsia="Malgun Gothic"/>
          <w:b/>
          <w:color w:val="1F4D78"/>
          <w:sz w:val="23"/>
        </w:rPr>
        <w:t>TC22_058</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적층용 액상 수지의 광물 함유량은 제조자 공칭값에서 몇 %까지 벗어날 수 있는가?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±5</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요건 (제조자에 의해 규정된 공칭값 오차%) → ±5 [1][2][3]</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해양레저선박 지침_2018.pdf · p.23</w:t>
      </w:r>
    </w:p>
    <w:p>
      <w:pPr>
        <w:pStyle w:val="ItemHeading"/>
        <w:shd w:fill="E9F5EE"/>
        <w:pBdr>
          <w:left w:val="single" w:sz="18" w:space="8" w:color="246B46"/>
        </w:pBdr>
      </w:pPr>
      <w:r>
        <w:rPr>
          <w:rFonts w:ascii="Calibri" w:hAnsi="Calibri" w:eastAsia="Malgun Gothic"/>
          <w:b/>
          <w:color w:val="1F4D78"/>
          <w:sz w:val="23"/>
        </w:rPr>
        <w:t>TC22_061</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주갑판 아래의 안덮개 설치비율은 얼마인가?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100 %</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적용 범주별 값은 SA 0 → 100 %, SA 1 → 종류마다 1개, SA 2 → 0 %, SA3 → 0 %입니다.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대형요트 지침_2014.pdf · p.116</w:t>
      </w:r>
    </w:p>
    <w:p>
      <w:pPr>
        <w:pStyle w:val="ItemHeading"/>
        <w:shd w:fill="E9F5EE"/>
        <w:pBdr>
          <w:left w:val="single" w:sz="18" w:space="8" w:color="246B46"/>
        </w:pBdr>
      </w:pPr>
      <w:r>
        <w:rPr>
          <w:rFonts w:ascii="Calibri" w:hAnsi="Calibri" w:eastAsia="Malgun Gothic"/>
          <w:b/>
          <w:color w:val="1F4D78"/>
          <w:sz w:val="23"/>
        </w:rPr>
        <w:t>TC22_064</w:t>
      </w:r>
      <w:r>
        <w:rPr>
          <w:rFonts w:ascii="Calibri" w:hAnsi="Calibri" w:eastAsia="Malgun Gothic"/>
          <w:b/>
          <w:color w:val="246B46"/>
          <w:sz w:val="23"/>
        </w:rPr>
        <w:t xml:space="preserve">  |  정답</w:t>
      </w:r>
    </w:p>
    <w:p>
      <w:pPr>
        <w:pStyle w:val="FieldLabel"/>
      </w:pPr>
      <w:r>
        <w:rPr>
          <w:rFonts w:ascii="Calibri" w:hAnsi="Calibri" w:eastAsia="Malgun Gothic"/>
          <w:b/>
          <w:color w:val="2E74B5"/>
          <w:sz w:val="18"/>
        </w:rPr>
        <w:t>질문</w:t>
      </w:r>
    </w:p>
    <w:p>
      <w:pPr>
        <w:pStyle w:val="FieldBody"/>
        <w:ind w:left="202" w:right="86"/>
        <w:shd w:fill="FFFFFF"/>
        <w:pBdr>
          <w:left w:val="single" w:sz="14" w:space="8" w:color="2E74B5"/>
        </w:pBdr>
      </w:pPr>
      <w:r>
        <w:rPr>
          <w:rFonts w:ascii="Calibri" w:hAnsi="Calibri" w:eastAsia="Malgun Gothic"/>
          <w:b w:val="0"/>
          <w:sz w:val="21"/>
        </w:rPr>
        <w:t>단열재료의 화재 및 화염전파 저항 시험에는 어떤 시험규격을 적용하는가?</w:t>
      </w:r>
    </w:p>
    <w:p>
      <w:pPr>
        <w:pStyle w:val="FieldLabel"/>
      </w:pPr>
      <w:r>
        <w:rPr>
          <w:rFonts w:ascii="Calibri" w:hAnsi="Calibri" w:eastAsia="Malgun Gothic"/>
          <w:b/>
          <w:color w:val="2E74B5"/>
          <w:sz w:val="18"/>
        </w:rPr>
        <w:t>기준 정답</w:t>
      </w:r>
    </w:p>
    <w:p>
      <w:pPr>
        <w:pStyle w:val="FieldBody"/>
        <w:ind w:left="202" w:right="86"/>
        <w:shd w:fill="E8EEF5"/>
        <w:pBdr>
          <w:left w:val="single" w:sz="14" w:space="8" w:color="2E74B5"/>
        </w:pBdr>
      </w:pPr>
      <w:r>
        <w:rPr>
          <w:rFonts w:ascii="Calibri" w:hAnsi="Calibri" w:eastAsia="Malgun Gothic"/>
          <w:b w:val="0"/>
          <w:sz w:val="21"/>
        </w:rPr>
        <w:t>DIN 4102</w:t>
      </w:r>
    </w:p>
    <w:p>
      <w:pPr>
        <w:pStyle w:val="FieldLabel"/>
      </w:pPr>
      <w:r>
        <w:rPr>
          <w:rFonts w:ascii="Calibri" w:hAnsi="Calibri" w:eastAsia="Malgun Gothic"/>
          <w:b/>
          <w:color w:val="2E74B5"/>
          <w:sz w:val="18"/>
        </w:rPr>
        <w:t>실제 Fast 답변</w:t>
      </w:r>
    </w:p>
    <w:p>
      <w:pPr>
        <w:pStyle w:val="AnswerSection"/>
        <w:shd w:fill="F4F6F9"/>
      </w:pPr>
      <w:r>
        <w:rPr>
          <w:rFonts w:ascii="Calibri" w:hAnsi="Calibri" w:eastAsia="Malgun Gothic"/>
          <w:b w:val="0"/>
          <w:sz w:val="19"/>
        </w:rPr>
        <w:t>1) 핵심 요약</w:t>
      </w:r>
    </w:p>
    <w:p>
      <w:pPr>
        <w:pStyle w:val="AnswerBody"/>
        <w:shd w:fill="F4F6F9"/>
        <w:numPr>
          <w:ilvl w:val="0"/>
          <w:numId w:val="10"/>
        </w:numPr>
      </w:pPr>
      <w:r>
        <w:rPr>
          <w:rFonts w:ascii="Calibri" w:hAnsi="Calibri" w:eastAsia="Malgun Gothic"/>
          <w:b w:val="0"/>
          <w:sz w:val="19"/>
        </w:rPr>
        <w:t>결론: 시험방법 → DIN 4102 [1]</w:t>
      </w:r>
    </w:p>
    <w:p>
      <w:pPr>
        <w:pStyle w:val="AnswerSection"/>
        <w:shd w:fill="F4F6F9"/>
      </w:pPr>
      <w:r>
        <w:rPr>
          <w:rFonts w:ascii="Calibri" w:hAnsi="Calibri" w:eastAsia="Malgun Gothic"/>
          <w:b w:val="0"/>
          <w:sz w:val="19"/>
        </w:rPr>
        <w:t>2) 선박 운항/업무 영향</w:t>
      </w:r>
    </w:p>
    <w:p>
      <w:pPr>
        <w:pStyle w:val="NoteBody"/>
        <w:shd w:fill="F4F6F9"/>
        <w:pBdr>
          <w:left w:val="single" w:sz="10" w:space="8" w:color="C9D2DE"/>
        </w:pBdr>
      </w:pPr>
      <w:r>
        <w:rPr>
          <w:rFonts w:ascii="Calibri" w:hAnsi="Calibri" w:eastAsia="Malgun Gothic"/>
          <w:b w:val="0"/>
          <w:i/>
          <w:sz w:val="19"/>
        </w:rPr>
        <w:t>검색 근거에서 직접 확인되는 별도 운항·업무 영향이 없습니다.</w:t>
      </w:r>
    </w:p>
    <w:p>
      <w:pPr>
        <w:pStyle w:val="AnswerSection"/>
        <w:shd w:fill="F4F6F9"/>
      </w:pPr>
      <w:r>
        <w:rPr>
          <w:rFonts w:ascii="Calibri" w:hAnsi="Calibri" w:eastAsia="Malgun Gothic"/>
          <w:b w:val="0"/>
          <w:sz w:val="19"/>
        </w:rPr>
        <w:t>3) 추후 확인 필요사항</w:t>
      </w:r>
    </w:p>
    <w:p>
      <w:pPr>
        <w:pStyle w:val="NoteBody"/>
        <w:shd w:fill="F4F6F9"/>
        <w:pBdr>
          <w:left w:val="single" w:sz="10" w:space="8" w:color="C9D2DE"/>
        </w:pBdr>
      </w:pPr>
      <w:r>
        <w:rPr>
          <w:rFonts w:ascii="Calibri" w:hAnsi="Calibri" w:eastAsia="Malgun Gothic"/>
          <w:b w:val="0"/>
          <w:i/>
          <w:sz w:val="19"/>
        </w:rPr>
        <w:t>추가 확인 필요사항이 별도로 식별되지 않았습니다.</w:t>
      </w:r>
    </w:p>
    <w:p>
      <w:pPr>
        <w:pStyle w:val="AnswerSection"/>
        <w:shd w:fill="F4F6F9"/>
      </w:pPr>
      <w:r>
        <w:rPr>
          <w:rFonts w:ascii="Calibri" w:hAnsi="Calibri" w:eastAsia="Malgun Gothic"/>
          <w:b w:val="0"/>
          <w:sz w:val="19"/>
        </w:rPr>
        <w:t>4) 관련 선급 Rule / Guidance</w:t>
      </w:r>
    </w:p>
    <w:p>
      <w:pPr>
        <w:pStyle w:val="NoteBody"/>
        <w:shd w:fill="F4F6F9"/>
        <w:pBdr>
          <w:left w:val="single" w:sz="10" w:space="8" w:color="C9D2DE"/>
        </w:pBdr>
      </w:pPr>
      <w:r>
        <w:rPr>
          <w:rFonts w:ascii="Calibri" w:hAnsi="Calibri" w:eastAsia="Malgun Gothic"/>
          <w:b w:val="0"/>
          <w:i/>
          <w:sz w:val="19"/>
        </w:rPr>
        <w:t>관련 선급 Rule / Guidance가 검색 근거에 없거나 해당하지 않습니다.</w:t>
      </w:r>
    </w:p>
    <w:p>
      <w:pPr>
        <w:pStyle w:val="FieldLabel"/>
      </w:pPr>
      <w:r>
        <w:rPr>
          <w:rFonts w:ascii="Calibri" w:hAnsi="Calibri" w:eastAsia="Malgun Gothic"/>
          <w:b/>
          <w:color w:val="2E74B5"/>
          <w:sz w:val="18"/>
        </w:rPr>
        <w:t>자동 판정</w:t>
      </w:r>
    </w:p>
    <w:p>
      <w:pPr>
        <w:pStyle w:val="FieldBody"/>
        <w:ind w:left="202" w:right="86"/>
        <w:shd w:fill="E9F5EE"/>
        <w:pBdr>
          <w:left w:val="single" w:sz="18" w:space="8" w:color="246B46"/>
        </w:pBdr>
      </w:pPr>
      <w:r>
        <w:rPr>
          <w:rFonts w:ascii="Calibri" w:hAnsi="Calibri" w:eastAsia="Malgun Gothic"/>
          <w:b/>
          <w:color w:val="246B46"/>
          <w:sz w:val="21"/>
        </w:rPr>
        <w:t xml:space="preserve">정답  </w:t>
      </w:r>
      <w:r>
        <w:rPr>
          <w:rFonts w:ascii="Calibri" w:hAnsi="Calibri" w:eastAsia="Malgun Gothic"/>
          <w:color w:val="111111"/>
          <w:sz w:val="19"/>
        </w:rPr>
        <w:t>정답값이 일치했습니다. · 문서 적중 예 · 페이지 적중 예</w:t>
      </w:r>
    </w:p>
    <w:p>
      <w:pPr>
        <w:pStyle w:val="FieldLabel"/>
      </w:pPr>
      <w:r>
        <w:rPr>
          <w:rFonts w:ascii="Calibri" w:hAnsi="Calibri" w:eastAsia="Malgun Gothic"/>
          <w:b/>
          <w:color w:val="2E74B5"/>
          <w:sz w:val="18"/>
        </w:rPr>
        <w:t>정답 근거</w:t>
      </w:r>
    </w:p>
    <w:p>
      <w:pPr>
        <w:pStyle w:val="FieldBody"/>
        <w:ind w:left="202" w:right="86"/>
        <w:shd w:fill="F2F4F7"/>
      </w:pPr>
      <w:r>
        <w:rPr>
          <w:rFonts w:ascii="Calibri" w:hAnsi="Calibri" w:eastAsia="Malgun Gothic"/>
          <w:b w:val="0"/>
          <w:sz w:val="21"/>
        </w:rPr>
        <w:t>저인화점연료선박 규칙_2025.pdf · p.116</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algun Gothic"/>
        <w:color w:val="667085"/>
        <w:sz w:val="17"/>
      </w:rPr>
      <w:t xml:space="preserve">MaritimeOps AI · </w:t>
    </w:r>
    <w:r>
      <w:rPr>
        <w:rFonts w:ascii="Calibri" w:hAnsi="Calibri" w:eastAsia="Malgun Gothic"/>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algun Gothic"/>
        <w:b/>
        <w:color w:val="667085"/>
        <w:sz w:val="17"/>
      </w:rPr>
      <w:t>RAG VALIDATION · DETAILED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ist">
    <w:name w:val="Question List"/>
    <w:basedOn w:val="Normal"/>
    <w:pPr>
      <w:spacing w:before="0" w:after="80" w:line="300" w:lineRule="auto"/>
      <w:ind w:left="540" w:hanging="271"/>
    </w:pPr>
    <w:rPr>
      <w:rFonts w:ascii="Calibri" w:hAnsi="Calibri" w:eastAsia="Malgun Gothic"/>
      <w:b w:val="0"/>
      <w:color w:val="111111"/>
      <w:sz w:val="22"/>
    </w:rPr>
  </w:style>
  <w:style w:type="paragraph" w:customStyle="1" w:styleId="ItemHeading">
    <w:name w:val="Item Heading"/>
    <w:basedOn w:val="Normal"/>
    <w:pPr>
      <w:keepNext/>
      <w:spacing w:before="0" w:after="120" w:line="276" w:lineRule="auto"/>
    </w:pPr>
    <w:rPr>
      <w:rFonts w:ascii="Calibri" w:hAnsi="Calibri" w:eastAsia="Malgun Gothic"/>
      <w:b/>
      <w:color w:val="1F4D78"/>
      <w:sz w:val="23"/>
    </w:rPr>
  </w:style>
  <w:style w:type="paragraph" w:customStyle="1" w:styleId="FieldLabel">
    <w:name w:val="Field Label"/>
    <w:basedOn w:val="Normal"/>
    <w:pPr>
      <w:keepNext/>
      <w:spacing w:before="0" w:after="40" w:line="240" w:lineRule="auto"/>
    </w:pPr>
    <w:rPr>
      <w:rFonts w:ascii="Calibri" w:hAnsi="Calibri" w:eastAsia="Malgun Gothic"/>
      <w:b/>
      <w:color w:val="2E74B5"/>
      <w:sz w:val="18"/>
    </w:rPr>
  </w:style>
  <w:style w:type="paragraph" w:customStyle="1" w:styleId="FieldBody">
    <w:name w:val="Field Body"/>
    <w:basedOn w:val="Normal"/>
    <w:pPr>
      <w:spacing w:before="0" w:after="120" w:line="283" w:lineRule="auto"/>
    </w:pPr>
    <w:rPr>
      <w:rFonts w:ascii="Calibri" w:hAnsi="Calibri" w:eastAsia="Malgun Gothic"/>
      <w:b w:val="0"/>
      <w:color w:val="111111"/>
      <w:sz w:val="21"/>
    </w:rPr>
  </w:style>
  <w:style w:type="paragraph" w:customStyle="1" w:styleId="AnswerSection">
    <w:name w:val="Answer Section"/>
    <w:basedOn w:val="Normal"/>
    <w:pPr>
      <w:spacing w:before="0" w:after="40" w:line="264" w:lineRule="auto"/>
    </w:pPr>
    <w:rPr>
      <w:rFonts w:ascii="Calibri" w:hAnsi="Calibri" w:eastAsia="Malgun Gothic"/>
      <w:b/>
      <w:color w:val="1F4D78"/>
      <w:sz w:val="19"/>
    </w:rPr>
  </w:style>
  <w:style w:type="paragraph" w:customStyle="1" w:styleId="AnswerBody">
    <w:name w:val="Answer Body"/>
    <w:basedOn w:val="Normal"/>
    <w:pPr>
      <w:spacing w:before="0" w:after="60" w:line="269" w:lineRule="auto"/>
      <w:ind w:left="259" w:right="115"/>
    </w:pPr>
    <w:rPr>
      <w:rFonts w:ascii="Calibri" w:hAnsi="Calibri" w:eastAsia="Malgun Gothic"/>
      <w:b w:val="0"/>
      <w:color w:val="111111"/>
      <w:sz w:val="19"/>
    </w:rPr>
  </w:style>
  <w:style w:type="paragraph" w:customStyle="1" w:styleId="NoteBody">
    <w:name w:val="Note Body"/>
    <w:basedOn w:val="Normal"/>
    <w:pPr>
      <w:spacing w:before="0" w:after="100" w:line="269" w:lineRule="auto"/>
      <w:ind w:left="259"/>
    </w:pPr>
    <w:rPr>
      <w:rFonts w:ascii="Calibri" w:hAnsi="Calibri" w:eastAsia="Malgun Gothic"/>
      <w:b w:val="0"/>
      <w:color w:val="667085"/>
      <w:sz w:val="19"/>
    </w:rPr>
  </w:style>
  <w:style w:type="paragraph" w:customStyle="1" w:styleId="TableText">
    <w:name w:val="Table Text"/>
    <w:basedOn w:val="Normal"/>
    <w:pPr>
      <w:spacing w:before="0" w:after="0" w:line="252" w:lineRule="auto"/>
    </w:pPr>
    <w:rPr>
      <w:rFonts w:ascii="Calibri" w:hAnsi="Calibri" w:eastAsia="Malgun Gothic"/>
      <w:b w:val="0"/>
      <w:color w:val="11111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검증 상세 결과 172문항</dc:title>
  <dc:subject>기준 정답, 실제 답변, 자동 판정과 근거</dc:subject>
  <dc:creator>MaritimeOps AI Evaluation</dc:creator>
  <cp:keywords>RAG, maritime, validation, evaluation</cp:keywords>
  <dc:description>generated by python-docx</dc:description>
  <cp:lastModifiedBy/>
  <cp:revision>1</cp:revision>
  <dcterms:created xsi:type="dcterms:W3CDTF">2013-12-23T23:15:00Z</dcterms:created>
  <dcterms:modified xsi:type="dcterms:W3CDTF">2013-12-23T23:15:00Z</dcterms:modified>
  <cp:category/>
</cp:coreProperties>
</file>